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5B" w:rsidRDefault="00764C5B" w:rsidP="00764C5B">
      <w:pPr>
        <w:keepNext/>
        <w:tabs>
          <w:tab w:val="left" w:pos="8222"/>
        </w:tabs>
        <w:spacing w:before="240" w:after="197"/>
        <w:ind w:left="432" w:right="844" w:firstLine="709"/>
        <w:jc w:val="right"/>
        <w:outlineLvl w:val="1"/>
        <w:rPr>
          <w:rFonts w:ascii="Arial" w:eastAsiaTheme="majorEastAsia" w:hAnsi="Arial" w:cs="Arial"/>
          <w:b/>
          <w:bCs/>
          <w:iCs/>
          <w:lang w:eastAsia="hr-HR"/>
        </w:rPr>
      </w:pPr>
      <w:r>
        <w:rPr>
          <w:rFonts w:ascii="Arial" w:eastAsiaTheme="majorEastAsia" w:hAnsi="Arial" w:cs="Arial"/>
          <w:b/>
          <w:bCs/>
          <w:iCs/>
          <w:lang w:eastAsia="hr-HR"/>
        </w:rPr>
        <w:t>PRILOG 1.</w:t>
      </w:r>
    </w:p>
    <w:p w:rsidR="00B969FD" w:rsidRPr="00B969FD" w:rsidRDefault="00B969FD" w:rsidP="00B969FD">
      <w:pPr>
        <w:keepNext/>
        <w:tabs>
          <w:tab w:val="left" w:pos="8222"/>
        </w:tabs>
        <w:spacing w:before="240" w:after="197"/>
        <w:ind w:left="432" w:right="844" w:firstLine="709"/>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t xml:space="preserve">Tehnički opis </w:t>
      </w:r>
    </w:p>
    <w:p w:rsidR="00B969FD" w:rsidRPr="00B969FD" w:rsidRDefault="00B969FD" w:rsidP="00B969FD">
      <w:pPr>
        <w:spacing w:after="207" w:line="268" w:lineRule="auto"/>
        <w:jc w:val="center"/>
        <w:rPr>
          <w:rFonts w:ascii="Arial" w:eastAsia="Times New Roman" w:hAnsi="Arial" w:cs="Arial"/>
          <w:lang w:eastAsia="hr-HR"/>
        </w:rPr>
      </w:pPr>
      <w:r w:rsidRPr="00B969FD">
        <w:rPr>
          <w:rFonts w:ascii="Arial" w:eastAsia="Times New Roman" w:hAnsi="Arial" w:cs="Arial"/>
          <w:b/>
          <w:lang w:eastAsia="hr-HR"/>
        </w:rPr>
        <w:t xml:space="preserve">Tehničko održavanje kinete plovnog puta rijeke </w:t>
      </w:r>
      <w:r>
        <w:rPr>
          <w:rFonts w:ascii="Arial" w:eastAsia="Times New Roman" w:hAnsi="Arial" w:cs="Arial"/>
          <w:b/>
          <w:lang w:eastAsia="hr-HR"/>
        </w:rPr>
        <w:t>Save i Kupe i Une</w:t>
      </w:r>
      <w:r w:rsidRPr="00B969FD">
        <w:rPr>
          <w:rFonts w:ascii="Arial" w:eastAsia="Times New Roman" w:hAnsi="Arial" w:cs="Arial"/>
          <w:b/>
          <w:lang w:eastAsia="hr-HR"/>
        </w:rPr>
        <w:t xml:space="preserve">, luka i lučica, te objekata sigurnosti plovidbe na području nadležnosti Lučke kapetanije </w:t>
      </w:r>
      <w:r>
        <w:rPr>
          <w:rFonts w:ascii="Arial" w:eastAsia="Times New Roman" w:hAnsi="Arial" w:cs="Arial"/>
          <w:b/>
          <w:lang w:eastAsia="hr-HR"/>
        </w:rPr>
        <w:t>Sisak</w:t>
      </w:r>
      <w:r w:rsidRPr="00B969FD">
        <w:rPr>
          <w:rFonts w:ascii="Arial" w:eastAsia="Times New Roman" w:hAnsi="Arial" w:cs="Arial"/>
          <w:b/>
          <w:lang w:eastAsia="hr-HR"/>
        </w:rPr>
        <w:t xml:space="preserve"> i Lučke kapetanije </w:t>
      </w:r>
      <w:r>
        <w:rPr>
          <w:rFonts w:ascii="Arial" w:eastAsia="Times New Roman" w:hAnsi="Arial" w:cs="Arial"/>
          <w:b/>
          <w:lang w:eastAsia="hr-HR"/>
        </w:rPr>
        <w:t>Slavonski Brod</w:t>
      </w:r>
      <w:r w:rsidRPr="00B969FD">
        <w:rPr>
          <w:rFonts w:ascii="Arial" w:eastAsia="Times New Roman" w:hAnsi="Arial" w:cs="Arial"/>
          <w:b/>
          <w:lang w:eastAsia="hr-HR"/>
        </w:rPr>
        <w:t xml:space="preserve"> radi osiguranja plovnosti prema Okvirnom sporazumu za razdoblje 2017. do 2020. godine</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Godišnjim planom radova za 2017-tu godinu, Agencija za vodne putove ima za radove održavanja plovnosti na </w:t>
      </w:r>
      <w:r>
        <w:rPr>
          <w:rFonts w:ascii="Arial" w:eastAsia="Times New Roman" w:hAnsi="Arial" w:cs="Arial"/>
          <w:lang w:eastAsia="hr-HR"/>
        </w:rPr>
        <w:t>Savi</w:t>
      </w:r>
      <w:r w:rsidRPr="00B969FD">
        <w:rPr>
          <w:rFonts w:ascii="Arial" w:eastAsia="Times New Roman" w:hAnsi="Arial" w:cs="Arial"/>
          <w:lang w:eastAsia="hr-HR"/>
        </w:rPr>
        <w:t xml:space="preserve"> predviđen iznos od </w:t>
      </w:r>
      <w:r>
        <w:rPr>
          <w:rFonts w:ascii="Arial" w:eastAsia="Times New Roman" w:hAnsi="Arial" w:cs="Arial"/>
          <w:lang w:eastAsia="hr-HR"/>
        </w:rPr>
        <w:t>1.120</w:t>
      </w:r>
      <w:r w:rsidRPr="00B969FD">
        <w:rPr>
          <w:rFonts w:ascii="Arial" w:eastAsia="Times New Roman" w:hAnsi="Arial" w:cs="Arial"/>
          <w:lang w:eastAsia="hr-HR"/>
        </w:rPr>
        <w:t xml:space="preserve">.000,00 kuna, a na </w:t>
      </w:r>
      <w:r>
        <w:rPr>
          <w:rFonts w:ascii="Arial" w:eastAsia="Times New Roman" w:hAnsi="Arial" w:cs="Arial"/>
          <w:lang w:eastAsia="hr-HR"/>
        </w:rPr>
        <w:t>Kupi i Uni</w:t>
      </w:r>
      <w:r w:rsidRPr="00B969FD">
        <w:rPr>
          <w:rFonts w:ascii="Arial" w:eastAsia="Times New Roman" w:hAnsi="Arial" w:cs="Arial"/>
          <w:lang w:eastAsia="hr-HR"/>
        </w:rPr>
        <w:t xml:space="preserve"> </w:t>
      </w:r>
      <w:r>
        <w:rPr>
          <w:rFonts w:ascii="Arial" w:eastAsia="Times New Roman" w:hAnsi="Arial" w:cs="Arial"/>
          <w:lang w:eastAsia="hr-HR"/>
        </w:rPr>
        <w:t>90</w:t>
      </w:r>
      <w:r w:rsidRPr="00B969FD">
        <w:rPr>
          <w:rFonts w:ascii="Arial" w:eastAsia="Times New Roman" w:hAnsi="Arial" w:cs="Arial"/>
          <w:lang w:eastAsia="hr-HR"/>
        </w:rPr>
        <w:t>.000,00 kuna, uključujući i održavanje akvatorija luka i lučica kao i interventne radove po nalogu inspekcije sigurnosti plovidbe.</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Prema projekciji Državnog proračuna za 2018-tu i 2019-tu godinu, za tehničko održavanje predviđeni su nešto uvećani iznosi istog reda veličina.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Radi ovako skromne mogućnosti financiranja radova, planira se radove održavanja na vodnom putu </w:t>
      </w:r>
      <w:r>
        <w:rPr>
          <w:rFonts w:ascii="Arial" w:eastAsia="Times New Roman" w:hAnsi="Arial" w:cs="Arial"/>
          <w:lang w:eastAsia="hr-HR"/>
        </w:rPr>
        <w:t>Save, Kupe i Une</w:t>
      </w:r>
      <w:r w:rsidRPr="00B969FD">
        <w:rPr>
          <w:rFonts w:ascii="Arial" w:eastAsia="Times New Roman" w:hAnsi="Arial" w:cs="Arial"/>
          <w:lang w:eastAsia="hr-HR"/>
        </w:rPr>
        <w:t xml:space="preserve"> na području nadležnosti Lučke kapetanije </w:t>
      </w:r>
      <w:r>
        <w:rPr>
          <w:rFonts w:ascii="Arial" w:eastAsia="Times New Roman" w:hAnsi="Arial" w:cs="Arial"/>
          <w:lang w:eastAsia="hr-HR"/>
        </w:rPr>
        <w:t>Sisak</w:t>
      </w:r>
      <w:r w:rsidRPr="00B969FD">
        <w:rPr>
          <w:rFonts w:ascii="Arial" w:eastAsia="Times New Roman" w:hAnsi="Arial" w:cs="Arial"/>
          <w:lang w:eastAsia="hr-HR"/>
        </w:rPr>
        <w:t xml:space="preserve"> i radova na vodnom putu </w:t>
      </w:r>
      <w:r>
        <w:rPr>
          <w:rFonts w:ascii="Arial" w:eastAsia="Times New Roman" w:hAnsi="Arial" w:cs="Arial"/>
          <w:lang w:eastAsia="hr-HR"/>
        </w:rPr>
        <w:t>save</w:t>
      </w:r>
      <w:r w:rsidRPr="00B969FD">
        <w:rPr>
          <w:rFonts w:ascii="Arial" w:eastAsia="Times New Roman" w:hAnsi="Arial" w:cs="Arial"/>
          <w:lang w:eastAsia="hr-HR"/>
        </w:rPr>
        <w:t xml:space="preserve"> na području nadležnosti lučke kapetanije </w:t>
      </w:r>
      <w:r>
        <w:rPr>
          <w:rFonts w:ascii="Arial" w:eastAsia="Times New Roman" w:hAnsi="Arial" w:cs="Arial"/>
          <w:lang w:eastAsia="hr-HR"/>
        </w:rPr>
        <w:t>Slavonski Brod</w:t>
      </w:r>
      <w:r w:rsidRPr="00B969FD">
        <w:rPr>
          <w:rFonts w:ascii="Arial" w:eastAsia="Times New Roman" w:hAnsi="Arial" w:cs="Arial"/>
          <w:lang w:eastAsia="hr-HR"/>
        </w:rPr>
        <w:t xml:space="preserve"> ustupiti kao radove jedne grupe. Ovakav postupak je opravdan i činjenicom da potencijalni ponuditelji trebaju imati znatnu plovnu mehanizaciju spremnu za obavljanje radova s kojom se trebaju angažirati kada se ukaže potreba. Za mali opseg radova dovodi se u pitanje zainteresiranost poslovnih subjekata za obavljanje ovih poslova. Pored toga </w:t>
      </w:r>
      <w:r>
        <w:rPr>
          <w:rFonts w:ascii="Arial" w:eastAsia="Times New Roman" w:hAnsi="Arial" w:cs="Arial"/>
          <w:lang w:eastAsia="hr-HR"/>
        </w:rPr>
        <w:t>sva tri</w:t>
      </w:r>
      <w:r w:rsidRPr="00B969FD">
        <w:rPr>
          <w:rFonts w:ascii="Arial" w:eastAsia="Times New Roman" w:hAnsi="Arial" w:cs="Arial"/>
          <w:lang w:eastAsia="hr-HR"/>
        </w:rPr>
        <w:t xml:space="preserve"> vodna puta nalaze se na vodotocima u nadležnosti istog vodnogospodarskog odjela Hrvatskih voda – VGO za </w:t>
      </w:r>
      <w:r>
        <w:rPr>
          <w:rFonts w:ascii="Arial" w:eastAsia="Times New Roman" w:hAnsi="Arial" w:cs="Arial"/>
          <w:lang w:eastAsia="hr-HR"/>
        </w:rPr>
        <w:t xml:space="preserve">srednju i </w:t>
      </w:r>
      <w:r w:rsidRPr="00B969FD">
        <w:rPr>
          <w:rFonts w:ascii="Arial" w:eastAsia="Times New Roman" w:hAnsi="Arial" w:cs="Arial"/>
          <w:lang w:eastAsia="hr-HR"/>
        </w:rPr>
        <w:t xml:space="preserve">donju </w:t>
      </w:r>
      <w:r>
        <w:rPr>
          <w:rFonts w:ascii="Arial" w:eastAsia="Times New Roman" w:hAnsi="Arial" w:cs="Arial"/>
          <w:lang w:eastAsia="hr-HR"/>
        </w:rPr>
        <w:t>Savu u Slavonskom Brodu</w:t>
      </w:r>
      <w:r w:rsidRPr="00B969FD">
        <w:rPr>
          <w:rFonts w:ascii="Arial" w:eastAsia="Times New Roman" w:hAnsi="Arial" w:cs="Arial"/>
          <w:lang w:eastAsia="hr-HR"/>
        </w:rPr>
        <w:t xml:space="preserve">.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Godišnji program radova održavanja Agencije dozvoljava određenu fleksibilnost radi mogućnosti obavljanja radova na dijelovima vodnih putova gdje je najpotrebnije. Tako je moguće da se ponekad obavi više radova na jednom vodnom putu, a manje na drugom i obratno.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U cilju osiguranja kvalitetnog izvođača radova koji je spreman angažirati dovoljno kapaciteta plovne mehanizacije i pravovremeno biti u mogućnosti obaviti radova kojima se osigurava sigurnost plovidbe, odlučeno je da se radovi tehničkog održavanja na </w:t>
      </w:r>
      <w:r w:rsidR="0072199B">
        <w:rPr>
          <w:rFonts w:ascii="Arial" w:eastAsia="Times New Roman" w:hAnsi="Arial" w:cs="Arial"/>
          <w:lang w:eastAsia="hr-HR"/>
        </w:rPr>
        <w:t>cijeloj Savi u granicama R. Hrvatske, Kupi i Uni</w:t>
      </w:r>
      <w:r w:rsidRPr="00B969FD">
        <w:rPr>
          <w:rFonts w:ascii="Arial" w:eastAsia="Times New Roman" w:hAnsi="Arial" w:cs="Arial"/>
          <w:lang w:eastAsia="hr-HR"/>
        </w:rPr>
        <w:t xml:space="preserve"> ustupaju kao jedna grupa.</w:t>
      </w:r>
    </w:p>
    <w:p w:rsidR="00B969FD" w:rsidRPr="00B969FD" w:rsidRDefault="00B969FD" w:rsidP="00B969FD">
      <w:pPr>
        <w:tabs>
          <w:tab w:val="left" w:pos="8222"/>
        </w:tabs>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Stoga se za okvirni sporazum od 2017. do 2020. godini za radove tehničkog održavanja na </w:t>
      </w:r>
      <w:r w:rsidR="0072199B">
        <w:rPr>
          <w:rFonts w:ascii="Arial" w:eastAsia="Times New Roman" w:hAnsi="Arial" w:cs="Arial"/>
          <w:lang w:eastAsia="hr-HR"/>
        </w:rPr>
        <w:t>Savi, Kupi i Uni</w:t>
      </w:r>
      <w:r w:rsidRPr="00B969FD">
        <w:rPr>
          <w:rFonts w:ascii="Arial" w:eastAsia="Times New Roman" w:hAnsi="Arial" w:cs="Arial"/>
          <w:lang w:eastAsia="hr-HR"/>
        </w:rPr>
        <w:t xml:space="preserve"> procjenjuje vrijednost nabave na ukupni iznos od 6.000.000,00 kuna tj. oko 1.500.000,00 kuna godišnje. Stvarni opseg radova definirat će se pojedinačnim ugovorima na osnovu okvirnog sporazuma ovisno od potreba osiguranja plovnosti i financijskih mogućnosti.</w:t>
      </w:r>
    </w:p>
    <w:p w:rsidR="00B969FD" w:rsidRPr="00B969FD" w:rsidRDefault="00B969FD" w:rsidP="00B969FD">
      <w:pPr>
        <w:spacing w:after="0" w:line="276" w:lineRule="auto"/>
        <w:jc w:val="center"/>
        <w:rPr>
          <w:rFonts w:ascii="Arial" w:eastAsia="Times New Roman" w:hAnsi="Arial" w:cs="Arial"/>
          <w:b/>
          <w:lang w:eastAsia="hr-HR"/>
        </w:rPr>
      </w:pPr>
      <w:r w:rsidRPr="00B969FD">
        <w:rPr>
          <w:rFonts w:ascii="Arial" w:eastAsia="Times New Roman" w:hAnsi="Arial" w:cs="Arial"/>
          <w:b/>
          <w:lang w:eastAsia="hr-HR"/>
        </w:rPr>
        <w:t xml:space="preserve">Održavanje kinete plovnog puta rijeke </w:t>
      </w:r>
      <w:r w:rsidR="0072199B">
        <w:rPr>
          <w:rFonts w:ascii="Arial" w:eastAsia="Times New Roman" w:hAnsi="Arial" w:cs="Arial"/>
          <w:b/>
          <w:lang w:eastAsia="hr-HR"/>
        </w:rPr>
        <w:t>Save, Kupe i Une</w:t>
      </w:r>
    </w:p>
    <w:p w:rsidR="00B969FD" w:rsidRPr="00B969FD" w:rsidRDefault="00B969FD" w:rsidP="00B969FD">
      <w:pPr>
        <w:spacing w:after="200" w:line="276" w:lineRule="auto"/>
        <w:jc w:val="center"/>
        <w:rPr>
          <w:rFonts w:ascii="Arial" w:eastAsia="Times New Roman" w:hAnsi="Arial" w:cs="Arial"/>
          <w:lang w:eastAsia="hr-HR"/>
        </w:rPr>
      </w:pPr>
      <w:r w:rsidRPr="00B969FD">
        <w:rPr>
          <w:rFonts w:ascii="Arial" w:eastAsia="Times New Roman" w:hAnsi="Arial" w:cs="Arial"/>
          <w:b/>
          <w:lang w:eastAsia="hr-HR"/>
        </w:rPr>
        <w:t>te objekata sigurnosti plovidbe</w:t>
      </w:r>
    </w:p>
    <w:p w:rsidR="00B969FD" w:rsidRPr="00B969FD" w:rsidRDefault="00B969FD" w:rsidP="00B969FD">
      <w:pPr>
        <w:tabs>
          <w:tab w:val="left" w:pos="0"/>
        </w:tabs>
        <w:spacing w:after="218"/>
        <w:jc w:val="both"/>
        <w:rPr>
          <w:rFonts w:ascii="Arial" w:eastAsia="Times New Roman" w:hAnsi="Arial" w:cs="Arial"/>
          <w:lang w:eastAsia="hr-HR"/>
        </w:rPr>
      </w:pPr>
      <w:r w:rsidRPr="00B969FD">
        <w:rPr>
          <w:rFonts w:ascii="Arial" w:eastAsia="Times New Roman" w:hAnsi="Arial" w:cs="Arial"/>
          <w:lang w:eastAsia="hr-HR"/>
        </w:rPr>
        <w:t xml:space="preserve">Postoje znatne smetnje u plovidbi na rijeci </w:t>
      </w:r>
      <w:r w:rsidR="00F8574E">
        <w:rPr>
          <w:rFonts w:ascii="Arial" w:eastAsia="Times New Roman" w:hAnsi="Arial" w:cs="Arial"/>
          <w:lang w:eastAsia="hr-HR"/>
        </w:rPr>
        <w:t xml:space="preserve">Savi. Uzdužni tok Save karakteriziran je plićacima koji se nalaze na mjestima prirodnih pragova na kojima se nanos intenzivnije taloži kao i na lokalitetima  u zonama ušća pritoka koje unose znatne količine nanosa u Savu, a u određenom režima vodostaja mogu stvarati uspor u Savi uzvodno ušća i pojačati taloženje </w:t>
      </w:r>
      <w:r w:rsidR="00F8574E">
        <w:rPr>
          <w:rFonts w:ascii="Arial" w:eastAsia="Times New Roman" w:hAnsi="Arial" w:cs="Arial"/>
          <w:lang w:eastAsia="hr-HR"/>
        </w:rPr>
        <w:lastRenderedPageBreak/>
        <w:t xml:space="preserve">nanosa.  </w:t>
      </w:r>
      <w:r w:rsidRPr="00B969FD">
        <w:rPr>
          <w:rFonts w:ascii="Arial" w:eastAsia="Times New Roman" w:hAnsi="Arial" w:cs="Arial"/>
          <w:lang w:eastAsia="hr-HR"/>
        </w:rPr>
        <w:t xml:space="preserve">Radi održavanja plovnosti neophodno je  stalno održavati kinetu plovnog puta, naročito na potezu od </w:t>
      </w:r>
      <w:r w:rsidR="00F8574E">
        <w:rPr>
          <w:rFonts w:ascii="Arial" w:eastAsia="Times New Roman" w:hAnsi="Arial" w:cs="Arial"/>
          <w:lang w:eastAsia="hr-HR"/>
        </w:rPr>
        <w:t>Slavonskog Broda do Siska, gdje se odvija prijevoz sirove nafte unutar R. Hrvatske. Ne može se isključiti niti najveći plićak</w:t>
      </w:r>
      <w:r w:rsidR="0058187E">
        <w:rPr>
          <w:rFonts w:ascii="Arial" w:eastAsia="Times New Roman" w:hAnsi="Arial" w:cs="Arial"/>
          <w:lang w:eastAsia="hr-HR"/>
        </w:rPr>
        <w:t xml:space="preserve"> Jaruge-Novi Grad koji predstavlja najveću smetnju za plovidbu na </w:t>
      </w:r>
      <w:r w:rsidR="00F8574E">
        <w:rPr>
          <w:rFonts w:ascii="Arial" w:eastAsia="Times New Roman" w:hAnsi="Arial" w:cs="Arial"/>
          <w:lang w:eastAsia="hr-HR"/>
        </w:rPr>
        <w:t xml:space="preserve">Savi  </w:t>
      </w:r>
      <w:r w:rsidR="0058187E">
        <w:rPr>
          <w:rFonts w:ascii="Arial" w:eastAsia="Times New Roman" w:hAnsi="Arial" w:cs="Arial"/>
          <w:lang w:eastAsia="hr-HR"/>
        </w:rPr>
        <w:t xml:space="preserve">ud do Siska tj dijelu na kojem se odvija međunarodna plovidba. </w:t>
      </w:r>
      <w:r w:rsidRPr="00B969FD">
        <w:rPr>
          <w:rFonts w:ascii="Arial" w:eastAsia="Times New Roman" w:hAnsi="Arial" w:cs="Arial"/>
          <w:lang w:eastAsia="hr-HR"/>
        </w:rPr>
        <w:t>Nije isključeno da je potrebno intervenirati i na nekim plićacima</w:t>
      </w:r>
      <w:r w:rsidR="00F8574E">
        <w:rPr>
          <w:rFonts w:ascii="Arial" w:eastAsia="Times New Roman" w:hAnsi="Arial" w:cs="Arial"/>
          <w:lang w:eastAsia="hr-HR"/>
        </w:rPr>
        <w:t xml:space="preserve"> u Kupi</w:t>
      </w:r>
      <w:r w:rsidR="00251955">
        <w:rPr>
          <w:rFonts w:ascii="Arial" w:eastAsia="Times New Roman" w:hAnsi="Arial" w:cs="Arial"/>
          <w:lang w:eastAsia="hr-HR"/>
        </w:rPr>
        <w:t xml:space="preserve"> do Pokupskog</w:t>
      </w:r>
      <w:r w:rsidR="00F8574E">
        <w:rPr>
          <w:rFonts w:ascii="Arial" w:eastAsia="Times New Roman" w:hAnsi="Arial" w:cs="Arial"/>
          <w:lang w:eastAsia="hr-HR"/>
        </w:rPr>
        <w:t xml:space="preserve"> i Uni</w:t>
      </w:r>
      <w:r w:rsidRPr="00B969FD">
        <w:rPr>
          <w:rFonts w:ascii="Arial" w:eastAsia="Times New Roman" w:hAnsi="Arial" w:cs="Arial"/>
          <w:lang w:eastAsia="hr-HR"/>
        </w:rPr>
        <w:t>, ali samo iznimno u slučaju naloga inspektora sigurnosti plovidbe.</w:t>
      </w:r>
    </w:p>
    <w:p w:rsidR="00EA2E3A"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Predviđa se da će se dio nanosa koji ometa plovidbu na </w:t>
      </w:r>
      <w:r w:rsidR="0058187E">
        <w:rPr>
          <w:rFonts w:ascii="Arial" w:eastAsia="Times New Roman" w:hAnsi="Arial" w:cs="Arial"/>
          <w:lang w:eastAsia="hr-HR"/>
        </w:rPr>
        <w:t>savi</w:t>
      </w:r>
      <w:r w:rsidRPr="00B969FD">
        <w:rPr>
          <w:rFonts w:ascii="Arial" w:eastAsia="Times New Roman" w:hAnsi="Arial" w:cs="Arial"/>
          <w:lang w:eastAsia="hr-HR"/>
        </w:rPr>
        <w:t xml:space="preserve"> ukloniti putem koncesija. Obzirom da se radovi vađenja putem koncesija neće moći obavljati kontinuirano tijekom cijele godine radi ograničenja koja proizlaze iz propisa o zaštiti prirode, za očekivati je da će biti potrebni interventni radovi radi održavanja minimalne plovnosti na pojedinim dionicama.</w:t>
      </w:r>
    </w:p>
    <w:p w:rsidR="00EA2E3A" w:rsidRDefault="00EA2E3A" w:rsidP="00B969FD">
      <w:pPr>
        <w:spacing w:after="200" w:line="276" w:lineRule="auto"/>
        <w:ind w:left="-5"/>
        <w:jc w:val="both"/>
        <w:rPr>
          <w:rFonts w:ascii="Arial" w:eastAsia="Times New Roman" w:hAnsi="Arial" w:cs="Arial"/>
          <w:lang w:eastAsia="hr-HR"/>
        </w:rPr>
      </w:pPr>
      <w:r>
        <w:rPr>
          <w:rFonts w:ascii="Arial" w:eastAsia="Times New Roman" w:hAnsi="Arial" w:cs="Arial"/>
          <w:lang w:eastAsia="hr-HR"/>
        </w:rPr>
        <w:t>Pregled plićaka na kojima se javljaju smetnje za plovidbu kod niskih vodostaja</w:t>
      </w:r>
    </w:p>
    <w:tbl>
      <w:tblPr>
        <w:tblW w:w="7516" w:type="dxa"/>
        <w:jc w:val="center"/>
        <w:tblLook w:val="0000"/>
      </w:tblPr>
      <w:tblGrid>
        <w:gridCol w:w="985"/>
        <w:gridCol w:w="3058"/>
        <w:gridCol w:w="1063"/>
        <w:gridCol w:w="92"/>
        <w:gridCol w:w="890"/>
        <w:gridCol w:w="314"/>
        <w:gridCol w:w="1114"/>
      </w:tblGrid>
      <w:tr w:rsidR="00EA2E3A" w:rsidTr="002D6ADD">
        <w:trPr>
          <w:trHeight w:val="255"/>
          <w:jc w:val="center"/>
        </w:trPr>
        <w:tc>
          <w:tcPr>
            <w:tcW w:w="7516" w:type="dxa"/>
            <w:gridSpan w:val="7"/>
            <w:tcBorders>
              <w:top w:val="nil"/>
              <w:left w:val="nil"/>
              <w:bottom w:val="single" w:sz="4" w:space="0" w:color="auto"/>
              <w:right w:val="nil"/>
            </w:tcBorders>
            <w:shd w:val="clear" w:color="auto" w:fill="auto"/>
            <w:noWrap/>
            <w:vAlign w:val="bottom"/>
          </w:tcPr>
          <w:p w:rsidR="00EA2E3A" w:rsidRDefault="00EA2E3A" w:rsidP="00EA2E3A">
            <w:pPr>
              <w:jc w:val="center"/>
              <w:rPr>
                <w:rFonts w:ascii="Arial" w:hAnsi="Arial" w:cs="Arial"/>
                <w:b/>
                <w:bCs/>
                <w:sz w:val="20"/>
                <w:szCs w:val="20"/>
              </w:rPr>
            </w:pPr>
            <w:r>
              <w:rPr>
                <w:rFonts w:ascii="Arial" w:hAnsi="Arial" w:cs="Arial"/>
                <w:b/>
                <w:bCs/>
                <w:sz w:val="20"/>
                <w:szCs w:val="20"/>
              </w:rPr>
              <w:t>VODNI PUT RIJEKE SAVE</w:t>
            </w:r>
          </w:p>
        </w:tc>
      </w:tr>
      <w:tr w:rsidR="00EA2E3A" w:rsidTr="002D6ADD">
        <w:trPr>
          <w:trHeight w:val="255"/>
          <w:jc w:val="center"/>
        </w:trPr>
        <w:tc>
          <w:tcPr>
            <w:tcW w:w="985"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Red. Broj</w:t>
            </w:r>
          </w:p>
        </w:tc>
        <w:tc>
          <w:tcPr>
            <w:tcW w:w="3058"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Naziv dionice</w:t>
            </w:r>
          </w:p>
        </w:tc>
        <w:tc>
          <w:tcPr>
            <w:tcW w:w="2359" w:type="dxa"/>
            <w:gridSpan w:val="4"/>
            <w:tcBorders>
              <w:top w:val="single" w:sz="4" w:space="0" w:color="auto"/>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Plovni km Save</w:t>
            </w:r>
          </w:p>
        </w:tc>
        <w:tc>
          <w:tcPr>
            <w:tcW w:w="1114"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duljina dionice</w:t>
            </w:r>
          </w:p>
        </w:tc>
      </w:tr>
      <w:tr w:rsidR="00EA2E3A" w:rsidTr="00EA2E3A">
        <w:trPr>
          <w:trHeight w:val="255"/>
          <w:jc w:val="center"/>
        </w:trPr>
        <w:tc>
          <w:tcPr>
            <w:tcW w:w="985"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3058"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1155"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 xml:space="preserve">od </w:t>
            </w:r>
          </w:p>
        </w:tc>
        <w:tc>
          <w:tcPr>
            <w:tcW w:w="1204"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do</w:t>
            </w:r>
          </w:p>
        </w:tc>
        <w:tc>
          <w:tcPr>
            <w:tcW w:w="1114" w:type="dxa"/>
            <w:vMerge/>
            <w:tcBorders>
              <w:left w:val="single" w:sz="4" w:space="0" w:color="auto"/>
              <w:bottom w:val="single" w:sz="4" w:space="0" w:color="000000"/>
              <w:right w:val="single" w:sz="4" w:space="0" w:color="auto"/>
            </w:tcBorders>
            <w:shd w:val="clear" w:color="auto" w:fill="E0E0E0"/>
            <w:vAlign w:val="center"/>
          </w:tcPr>
          <w:p w:rsidR="00EA2E3A" w:rsidRDefault="00EA2E3A" w:rsidP="00EA2E3A">
            <w:pPr>
              <w:rPr>
                <w:rFonts w:ascii="Arial" w:hAnsi="Arial" w:cs="Arial"/>
                <w:b/>
                <w:bCs/>
                <w:sz w:val="20"/>
                <w:szCs w:val="20"/>
              </w:rPr>
            </w:pPr>
          </w:p>
        </w:tc>
      </w:tr>
      <w:tr w:rsidR="00EA2E3A" w:rsidTr="00EA2E3A">
        <w:trPr>
          <w:trHeight w:val="221"/>
          <w:jc w:val="center"/>
        </w:trPr>
        <w:tc>
          <w:tcPr>
            <w:tcW w:w="4043" w:type="dxa"/>
            <w:gridSpan w:val="2"/>
            <w:tcBorders>
              <w:left w:val="single" w:sz="4" w:space="0" w:color="auto"/>
              <w:bottom w:val="single" w:sz="4" w:space="0" w:color="auto"/>
              <w:right w:val="single" w:sz="4" w:space="0" w:color="auto"/>
            </w:tcBorders>
            <w:shd w:val="clear" w:color="auto" w:fill="auto"/>
            <w:vAlign w:val="center"/>
          </w:tcPr>
          <w:p w:rsidR="00EA2E3A" w:rsidRDefault="00EA2E3A" w:rsidP="00EA2E3A">
            <w:pPr>
              <w:rPr>
                <w:rFonts w:ascii="Arial" w:hAnsi="Arial" w:cs="Arial"/>
                <w:b/>
                <w:bCs/>
                <w:sz w:val="20"/>
                <w:szCs w:val="20"/>
              </w:rPr>
            </w:pPr>
            <w:r>
              <w:rPr>
                <w:rFonts w:ascii="Arial" w:hAnsi="Arial" w:cs="Arial"/>
                <w:b/>
                <w:bCs/>
                <w:sz w:val="20"/>
                <w:szCs w:val="20"/>
              </w:rPr>
              <w:t>Međunarodni dio vodnog puta</w:t>
            </w:r>
          </w:p>
        </w:tc>
        <w:tc>
          <w:tcPr>
            <w:tcW w:w="1155"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b/>
                <w:bCs/>
                <w:sz w:val="20"/>
                <w:szCs w:val="20"/>
              </w:rPr>
            </w:pPr>
          </w:p>
        </w:tc>
        <w:tc>
          <w:tcPr>
            <w:tcW w:w="1204"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b/>
                <w:bCs/>
                <w:sz w:val="20"/>
                <w:szCs w:val="20"/>
              </w:rPr>
            </w:pPr>
          </w:p>
        </w:tc>
        <w:tc>
          <w:tcPr>
            <w:tcW w:w="1114" w:type="dxa"/>
            <w:tcBorders>
              <w:left w:val="single" w:sz="4" w:space="0" w:color="auto"/>
              <w:bottom w:val="single" w:sz="4" w:space="0" w:color="000000"/>
              <w:right w:val="single" w:sz="4" w:space="0" w:color="auto"/>
            </w:tcBorders>
            <w:shd w:val="clear" w:color="auto" w:fill="auto"/>
            <w:vAlign w:val="center"/>
          </w:tcPr>
          <w:p w:rsidR="00EA2E3A" w:rsidRDefault="00EA2E3A" w:rsidP="00EA2E3A">
            <w:pPr>
              <w:rPr>
                <w:rFonts w:ascii="Arial" w:hAnsi="Arial" w:cs="Arial"/>
                <w:b/>
                <w:bCs/>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noWrap/>
            <w:vAlign w:val="bottom"/>
          </w:tcPr>
          <w:p w:rsidR="00EA2E3A" w:rsidRDefault="00EA2E3A" w:rsidP="00EA2E3A">
            <w:pPr>
              <w:rPr>
                <w:rFonts w:ascii="Arial" w:hAnsi="Arial" w:cs="Arial"/>
                <w:sz w:val="20"/>
                <w:szCs w:val="20"/>
              </w:rPr>
            </w:pPr>
            <w:r>
              <w:rPr>
                <w:rFonts w:ascii="Arial" w:hAnsi="Arial" w:cs="Arial"/>
                <w:sz w:val="20"/>
                <w:szCs w:val="20"/>
              </w:rPr>
              <w:t>Račinovci - Konjuša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210,8</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223,0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12,2</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Gunja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227,2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230,4</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Orašje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261,2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262,5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Županjski sektor- Tolisa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273,5</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275,5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Domaljevac</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296,0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296,5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Nevjerica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303,2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305,7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Učajak-Bukovi</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308,7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Savulje- Slav </w:t>
            </w:r>
            <w:r w:rsidR="008E1391">
              <w:rPr>
                <w:rFonts w:ascii="Arial" w:hAnsi="Arial" w:cs="Arial"/>
                <w:sz w:val="20"/>
                <w:szCs w:val="20"/>
              </w:rPr>
              <w:t>–</w:t>
            </w:r>
            <w:r>
              <w:rPr>
                <w:rFonts w:ascii="Arial" w:hAnsi="Arial" w:cs="Arial"/>
                <w:sz w:val="20"/>
                <w:szCs w:val="20"/>
              </w:rPr>
              <w:t xml:space="preserve"> Šamac</w:t>
            </w:r>
            <w:r w:rsidR="008E1391">
              <w:rPr>
                <w:rFonts w:ascii="Arial" w:hAnsi="Arial" w:cs="Arial"/>
                <w:sz w:val="20"/>
                <w:szCs w:val="20"/>
              </w:rPr>
              <w:t xml:space="preserv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310,0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311,3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9</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Jabuka (SlavŠamac)</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316,4</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317,6</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1,2</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10</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Jaruge-Novi Grad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322,0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329,0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7,1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Ugljara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342,7</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343,1</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12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Poloj (Slav. Brod)</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267,1</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267,5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Sijekovac-Migalovci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374,0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382,0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8,0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Dubočac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388,3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389,8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1,5</w:t>
            </w:r>
          </w:p>
        </w:tc>
      </w:tr>
      <w:tr w:rsidR="00EA2E3A" w:rsidTr="00EA2E3A">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5</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Grlić</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394,5</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395,2</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Osavica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397,2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397,5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Davor (Ušće Vrbasa)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426,2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427,1</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0,9</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Davor uzvodno</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428,8</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430,3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1,5</w:t>
            </w:r>
          </w:p>
        </w:tc>
      </w:tr>
      <w:tr w:rsidR="00EA2E3A" w:rsidTr="008E1391">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9</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Dolina </w:t>
            </w:r>
            <w:r w:rsidR="008E1391">
              <w:rPr>
                <w:rFonts w:ascii="Arial" w:hAnsi="Arial" w:cs="Arial"/>
                <w:sz w:val="20"/>
                <w:szCs w:val="20"/>
              </w:rPr>
              <w:t>*</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445,5</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449,5</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4,0</w:t>
            </w:r>
          </w:p>
        </w:tc>
      </w:tr>
      <w:tr w:rsidR="00EA2E3A" w:rsidTr="00EA2E3A">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0</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Stara Gradiška </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463,7</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466,0</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lastRenderedPageBreak/>
              <w:t>2</w:t>
            </w:r>
            <w:r w:rsidR="002D6ADD">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Jasenovac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515,6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518,0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Višnjica-Drenov Bok</w:t>
            </w:r>
            <w:r w:rsidR="008E1391">
              <w:rPr>
                <w:rFonts w:ascii="Arial" w:hAnsi="Arial" w:cs="Arial"/>
                <w:sz w:val="20"/>
                <w:szCs w:val="20"/>
              </w:rPr>
              <w:t xml:space="preserv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523,</w:t>
            </w:r>
            <w:r w:rsidR="002D6ADD">
              <w:rPr>
                <w:rFonts w:ascii="Arial" w:hAnsi="Arial" w:cs="Arial"/>
                <w:sz w:val="20"/>
                <w:szCs w:val="20"/>
              </w:rPr>
              <w:t>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52</w:t>
            </w:r>
            <w:r w:rsidR="002D6ADD">
              <w:rPr>
                <w:rFonts w:ascii="Arial" w:hAnsi="Arial" w:cs="Arial"/>
                <w:sz w:val="20"/>
                <w:szCs w:val="20"/>
              </w:rPr>
              <w:t>8</w:t>
            </w:r>
            <w:r>
              <w:rPr>
                <w:rFonts w:ascii="Arial" w:hAnsi="Arial" w:cs="Arial"/>
                <w:sz w:val="20"/>
                <w:szCs w:val="20"/>
              </w:rPr>
              <w:t>,</w:t>
            </w:r>
            <w:r w:rsidR="002D6ADD">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Krapje</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531,7</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533,8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Puska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541,6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542,3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bottom"/>
          </w:tcPr>
          <w:p w:rsidR="008E1391" w:rsidRDefault="00EA2E3A" w:rsidP="00EA2E3A">
            <w:pPr>
              <w:rPr>
                <w:rFonts w:ascii="Arial" w:hAnsi="Arial" w:cs="Arial"/>
                <w:sz w:val="20"/>
                <w:szCs w:val="20"/>
              </w:rPr>
            </w:pPr>
            <w:r>
              <w:rPr>
                <w:rFonts w:ascii="Arial" w:hAnsi="Arial" w:cs="Arial"/>
                <w:sz w:val="20"/>
                <w:szCs w:val="20"/>
              </w:rPr>
              <w:t>L</w:t>
            </w:r>
            <w:r w:rsidR="008E1391">
              <w:rPr>
                <w:rFonts w:ascii="Arial" w:hAnsi="Arial" w:cs="Arial"/>
                <w:sz w:val="20"/>
                <w:szCs w:val="20"/>
              </w:rPr>
              <w:t>onja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552,0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556,0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4,0</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Bobovac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559,</w:t>
            </w:r>
            <w:r w:rsidR="002D6ADD">
              <w:rPr>
                <w:rFonts w:ascii="Arial" w:hAnsi="Arial" w:cs="Arial"/>
                <w:sz w:val="20"/>
                <w:szCs w:val="20"/>
              </w:rPr>
              <w:t>9</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560,</w:t>
            </w:r>
            <w:r w:rsidR="002D6ADD">
              <w:rPr>
                <w:rFonts w:ascii="Arial" w:hAnsi="Arial" w:cs="Arial"/>
                <w:sz w:val="20"/>
                <w:szCs w:val="20"/>
              </w:rPr>
              <w:t>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0,8</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Mužilovčica – Bistrač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562,6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563,6</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Selište</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565,2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565,8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2D6ADD" w:rsidP="002D6ADD">
            <w:pPr>
              <w:jc w:val="center"/>
              <w:rPr>
                <w:rFonts w:ascii="Arial" w:hAnsi="Arial" w:cs="Arial"/>
                <w:sz w:val="20"/>
                <w:szCs w:val="20"/>
              </w:rPr>
            </w:pPr>
            <w:r>
              <w:rPr>
                <w:rFonts w:ascii="Arial" w:hAnsi="Arial" w:cs="Arial"/>
                <w:sz w:val="20"/>
                <w:szCs w:val="20"/>
              </w:rPr>
              <w:t>29</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Selište uzvodno</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568,2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568,7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0</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Gušće – Gradusa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570,2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576,3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6,1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Lukavec Posavski - Blinjski Kut - Preloščica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582,9</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w:t>
            </w:r>
          </w:p>
        </w:tc>
      </w:tr>
      <w:tr w:rsidR="00EA2E3A" w:rsidTr="00EA2E3A">
        <w:trPr>
          <w:trHeight w:val="255"/>
          <w:jc w:val="center"/>
        </w:trPr>
        <w:tc>
          <w:tcPr>
            <w:tcW w:w="4043" w:type="dxa"/>
            <w:gridSpan w:val="2"/>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Državni dio vodnog puta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Lokalne intervencije na plićacima između Galdova i Rugvice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582,9</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000000"/>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UKUPNO:</w:t>
            </w:r>
          </w:p>
        </w:tc>
        <w:tc>
          <w:tcPr>
            <w:tcW w:w="1155"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 </w:t>
            </w:r>
          </w:p>
        </w:tc>
        <w:tc>
          <w:tcPr>
            <w:tcW w:w="1204"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81,5</w:t>
            </w:r>
          </w:p>
        </w:tc>
      </w:tr>
      <w:tr w:rsidR="00EA2E3A" w:rsidTr="00EA2E3A">
        <w:trPr>
          <w:trHeight w:val="255"/>
          <w:jc w:val="center"/>
        </w:trPr>
        <w:tc>
          <w:tcPr>
            <w:tcW w:w="7516" w:type="dxa"/>
            <w:gridSpan w:val="7"/>
            <w:tcBorders>
              <w:top w:val="nil"/>
              <w:left w:val="nil"/>
              <w:bottom w:val="nil"/>
              <w:right w:val="nil"/>
            </w:tcBorders>
            <w:shd w:val="clear" w:color="auto" w:fill="auto"/>
            <w:noWrap/>
            <w:vAlign w:val="bottom"/>
          </w:tcPr>
          <w:p w:rsidR="00EA2E3A" w:rsidRDefault="00EA2E3A" w:rsidP="00EA2E3A">
            <w:pPr>
              <w:jc w:val="center"/>
              <w:rPr>
                <w:rFonts w:ascii="Arial" w:hAnsi="Arial" w:cs="Arial"/>
                <w:b/>
                <w:bCs/>
                <w:sz w:val="20"/>
                <w:szCs w:val="20"/>
              </w:rPr>
            </w:pPr>
          </w:p>
          <w:p w:rsidR="00EA2E3A" w:rsidRDefault="00EA2E3A" w:rsidP="00EA2E3A">
            <w:pPr>
              <w:jc w:val="center"/>
              <w:rPr>
                <w:rFonts w:ascii="Arial" w:hAnsi="Arial" w:cs="Arial"/>
                <w:b/>
                <w:bCs/>
                <w:sz w:val="20"/>
                <w:szCs w:val="20"/>
              </w:rPr>
            </w:pPr>
            <w:r>
              <w:rPr>
                <w:rFonts w:ascii="Arial" w:hAnsi="Arial" w:cs="Arial"/>
                <w:b/>
                <w:bCs/>
                <w:sz w:val="20"/>
                <w:szCs w:val="20"/>
              </w:rPr>
              <w:t>VODNI PUT RIJEKE KUPE ( do Pokupskog)</w:t>
            </w:r>
          </w:p>
        </w:tc>
      </w:tr>
      <w:tr w:rsidR="00EA2E3A" w:rsidTr="00EA2E3A">
        <w:trPr>
          <w:trHeight w:val="255"/>
          <w:jc w:val="center"/>
        </w:trPr>
        <w:tc>
          <w:tcPr>
            <w:tcW w:w="985"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Red. Broj</w:t>
            </w:r>
          </w:p>
        </w:tc>
        <w:tc>
          <w:tcPr>
            <w:tcW w:w="3058"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Naziv dionice</w:t>
            </w:r>
          </w:p>
        </w:tc>
        <w:tc>
          <w:tcPr>
            <w:tcW w:w="2045" w:type="dxa"/>
            <w:gridSpan w:val="3"/>
            <w:tcBorders>
              <w:top w:val="single" w:sz="4" w:space="0" w:color="auto"/>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Plovni km Kupe</w:t>
            </w:r>
          </w:p>
        </w:tc>
        <w:tc>
          <w:tcPr>
            <w:tcW w:w="1428" w:type="dxa"/>
            <w:gridSpan w:val="2"/>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duljina dionice</w:t>
            </w:r>
          </w:p>
        </w:tc>
      </w:tr>
      <w:tr w:rsidR="00EA2E3A" w:rsidTr="00EA2E3A">
        <w:trPr>
          <w:trHeight w:val="255"/>
          <w:jc w:val="center"/>
        </w:trPr>
        <w:tc>
          <w:tcPr>
            <w:tcW w:w="985"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3058"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1063" w:type="dxa"/>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 xml:space="preserve">od </w:t>
            </w:r>
          </w:p>
        </w:tc>
        <w:tc>
          <w:tcPr>
            <w:tcW w:w="982"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do</w:t>
            </w:r>
          </w:p>
        </w:tc>
        <w:tc>
          <w:tcPr>
            <w:tcW w:w="1428" w:type="dxa"/>
            <w:gridSpan w:val="2"/>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r>
      <w:tr w:rsidR="00EA2E3A" w:rsidTr="00EA2E3A">
        <w:trPr>
          <w:trHeight w:val="255"/>
          <w:jc w:val="center"/>
        </w:trPr>
        <w:tc>
          <w:tcPr>
            <w:tcW w:w="4043" w:type="dxa"/>
            <w:gridSpan w:val="2"/>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r>
              <w:rPr>
                <w:rFonts w:ascii="Arial" w:hAnsi="Arial" w:cs="Arial"/>
                <w:sz w:val="18"/>
                <w:szCs w:val="18"/>
              </w:rPr>
              <w:t>Međunarodni dio vodnog puta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Rafinerija 1</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0,4</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1,0</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Rafinerija 2</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1,2</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1,6</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Sisak kod stadiona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2,6</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3,2</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"plava bitva"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4,2</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4,9</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Okretište nizvodno ušća Odre</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5,8</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5,9</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0,1</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Državni dio vodnog puta</w:t>
            </w:r>
          </w:p>
        </w:tc>
        <w:tc>
          <w:tcPr>
            <w:tcW w:w="1063" w:type="dxa"/>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c>
          <w:tcPr>
            <w:tcW w:w="1428" w:type="dxa"/>
            <w:gridSpan w:val="2"/>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noWrap/>
            <w:vAlign w:val="center"/>
          </w:tcPr>
          <w:p w:rsidR="00EA2E3A" w:rsidRDefault="00EA2E3A" w:rsidP="00EA2E3A">
            <w:pPr>
              <w:rPr>
                <w:rFonts w:ascii="Arial" w:hAnsi="Arial" w:cs="Arial"/>
                <w:sz w:val="20"/>
                <w:szCs w:val="20"/>
              </w:rPr>
            </w:pPr>
            <w:r>
              <w:rPr>
                <w:rFonts w:ascii="Arial" w:hAnsi="Arial" w:cs="Arial"/>
                <w:sz w:val="20"/>
                <w:szCs w:val="20"/>
              </w:rPr>
              <w:t>Lokalne intervencije na plićacima: Staro Praćno, Mošćenica, Drenčina i dr.</w:t>
            </w:r>
          </w:p>
        </w:tc>
        <w:tc>
          <w:tcPr>
            <w:tcW w:w="1063" w:type="dxa"/>
            <w:tcBorders>
              <w:top w:val="nil"/>
              <w:left w:val="nil"/>
              <w:bottom w:val="single" w:sz="4" w:space="0" w:color="auto"/>
              <w:right w:val="single" w:sz="4" w:space="0" w:color="auto"/>
            </w:tcBorders>
            <w:shd w:val="clear" w:color="auto" w:fill="auto"/>
            <w:noWrap/>
            <w:vAlign w:val="center"/>
          </w:tcPr>
          <w:p w:rsidR="00EA2E3A" w:rsidRDefault="00EA2E3A" w:rsidP="00EA2E3A">
            <w:pPr>
              <w:jc w:val="center"/>
              <w:rPr>
                <w:rFonts w:ascii="Arial" w:hAnsi="Arial" w:cs="Arial"/>
                <w:sz w:val="20"/>
                <w:szCs w:val="20"/>
              </w:rPr>
            </w:pPr>
          </w:p>
        </w:tc>
        <w:tc>
          <w:tcPr>
            <w:tcW w:w="982"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428"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UKUPNO:</w:t>
            </w:r>
          </w:p>
        </w:tc>
        <w:tc>
          <w:tcPr>
            <w:tcW w:w="1063" w:type="dxa"/>
            <w:tcBorders>
              <w:top w:val="nil"/>
              <w:left w:val="nil"/>
              <w:bottom w:val="single" w:sz="4" w:space="0" w:color="auto"/>
              <w:right w:val="single" w:sz="4" w:space="0" w:color="auto"/>
            </w:tcBorders>
            <w:shd w:val="clear" w:color="auto" w:fill="E0E0E0"/>
            <w:noWrap/>
            <w:vAlign w:val="bottom"/>
          </w:tcPr>
          <w:p w:rsidR="00EA2E3A" w:rsidRDefault="00EA2E3A" w:rsidP="00EA2E3A">
            <w:pPr>
              <w:rPr>
                <w:rFonts w:ascii="Arial" w:hAnsi="Arial" w:cs="Arial"/>
                <w:sz w:val="20"/>
                <w:szCs w:val="20"/>
              </w:rPr>
            </w:pPr>
            <w:r>
              <w:rPr>
                <w:rFonts w:ascii="Arial" w:hAnsi="Arial" w:cs="Arial"/>
                <w:sz w:val="20"/>
                <w:szCs w:val="20"/>
              </w:rPr>
              <w:t> </w:t>
            </w:r>
          </w:p>
        </w:tc>
        <w:tc>
          <w:tcPr>
            <w:tcW w:w="982"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rPr>
                <w:rFonts w:ascii="Arial" w:hAnsi="Arial" w:cs="Arial"/>
                <w:sz w:val="20"/>
                <w:szCs w:val="20"/>
              </w:rPr>
            </w:pPr>
            <w:r>
              <w:rPr>
                <w:rFonts w:ascii="Arial" w:hAnsi="Arial" w:cs="Arial"/>
                <w:sz w:val="20"/>
                <w:szCs w:val="20"/>
              </w:rPr>
              <w:t> </w:t>
            </w:r>
          </w:p>
        </w:tc>
        <w:tc>
          <w:tcPr>
            <w:tcW w:w="1428"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4,4</w:t>
            </w:r>
          </w:p>
        </w:tc>
      </w:tr>
    </w:tbl>
    <w:p w:rsidR="00EA2E3A" w:rsidRDefault="00EA2E3A" w:rsidP="00B969FD">
      <w:pPr>
        <w:spacing w:after="200" w:line="276" w:lineRule="auto"/>
        <w:ind w:left="-5"/>
        <w:jc w:val="both"/>
        <w:rPr>
          <w:rFonts w:ascii="Arial" w:eastAsia="Times New Roman" w:hAnsi="Arial" w:cs="Arial"/>
          <w:lang w:eastAsia="hr-HR"/>
        </w:rPr>
      </w:pPr>
    </w:p>
    <w:p w:rsidR="00B969FD" w:rsidRPr="00B969FD"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Prema rješenju o glavnoj ocjeni prihvatljivosti zahvata na ekološku mrežu koje je izdalo Ministarstvo zaštite okoliša i prirode od 2</w:t>
      </w:r>
      <w:r w:rsidR="002D6ADD">
        <w:rPr>
          <w:rFonts w:ascii="Arial" w:eastAsia="Times New Roman" w:hAnsi="Arial" w:cs="Arial"/>
          <w:lang w:eastAsia="hr-HR"/>
        </w:rPr>
        <w:t>8</w:t>
      </w:r>
      <w:r w:rsidRPr="00B969FD">
        <w:rPr>
          <w:rFonts w:ascii="Arial" w:eastAsia="Times New Roman" w:hAnsi="Arial" w:cs="Arial"/>
          <w:lang w:eastAsia="hr-HR"/>
        </w:rPr>
        <w:t xml:space="preserve">. </w:t>
      </w:r>
      <w:r w:rsidR="002D6ADD">
        <w:rPr>
          <w:rFonts w:ascii="Arial" w:eastAsia="Times New Roman" w:hAnsi="Arial" w:cs="Arial"/>
          <w:lang w:eastAsia="hr-HR"/>
        </w:rPr>
        <w:t>svibnja</w:t>
      </w:r>
      <w:r w:rsidRPr="00B969FD">
        <w:rPr>
          <w:rFonts w:ascii="Arial" w:eastAsia="Times New Roman" w:hAnsi="Arial" w:cs="Arial"/>
          <w:lang w:eastAsia="hr-HR"/>
        </w:rPr>
        <w:t xml:space="preserve"> 201</w:t>
      </w:r>
      <w:r w:rsidR="002D6ADD">
        <w:rPr>
          <w:rFonts w:ascii="Arial" w:eastAsia="Times New Roman" w:hAnsi="Arial" w:cs="Arial"/>
          <w:lang w:eastAsia="hr-HR"/>
        </w:rPr>
        <w:t>5</w:t>
      </w:r>
      <w:r w:rsidRPr="00B969FD">
        <w:rPr>
          <w:rFonts w:ascii="Arial" w:eastAsia="Times New Roman" w:hAnsi="Arial" w:cs="Arial"/>
          <w:lang w:eastAsia="hr-HR"/>
        </w:rPr>
        <w:t xml:space="preserve">. godine moguće je uklanjanje </w:t>
      </w:r>
      <w:r w:rsidRPr="00B969FD">
        <w:rPr>
          <w:rFonts w:ascii="Arial" w:eastAsia="Times New Roman" w:hAnsi="Arial" w:cs="Arial"/>
          <w:lang w:eastAsia="hr-HR"/>
        </w:rPr>
        <w:lastRenderedPageBreak/>
        <w:t>nanosa</w:t>
      </w:r>
      <w:r w:rsidR="002D6ADD">
        <w:rPr>
          <w:rFonts w:ascii="Arial" w:eastAsia="Times New Roman" w:hAnsi="Arial" w:cs="Arial"/>
          <w:lang w:eastAsia="hr-HR"/>
        </w:rPr>
        <w:t xml:space="preserve"> samo na</w:t>
      </w:r>
      <w:r w:rsidR="008E1391">
        <w:rPr>
          <w:rFonts w:ascii="Arial" w:eastAsia="Times New Roman" w:hAnsi="Arial" w:cs="Arial"/>
          <w:lang w:eastAsia="hr-HR"/>
        </w:rPr>
        <w:t xml:space="preserve"> lokacijama </w:t>
      </w:r>
      <w:r w:rsidR="002D6ADD">
        <w:rPr>
          <w:rFonts w:ascii="Arial" w:eastAsia="Times New Roman" w:hAnsi="Arial" w:cs="Arial"/>
          <w:lang w:eastAsia="hr-HR"/>
        </w:rPr>
        <w:t xml:space="preserve">označenim </w:t>
      </w:r>
      <w:r w:rsidR="008E1391">
        <w:rPr>
          <w:rFonts w:ascii="Arial" w:eastAsia="Times New Roman" w:hAnsi="Arial" w:cs="Arial"/>
          <w:lang w:eastAsia="hr-HR"/>
        </w:rPr>
        <w:t>zvjezdicom (*) i to dio na obalu (moguće putem koncesije) a dio je potrebno rasporediti unutar vodotoka.</w:t>
      </w:r>
    </w:p>
    <w:p w:rsidR="00B969FD" w:rsidRPr="00B969FD" w:rsidRDefault="00B969FD" w:rsidP="00B969FD">
      <w:pPr>
        <w:tabs>
          <w:tab w:val="left" w:pos="8222"/>
        </w:tabs>
        <w:spacing w:after="200" w:line="276" w:lineRule="auto"/>
        <w:ind w:right="419"/>
        <w:jc w:val="both"/>
        <w:rPr>
          <w:rFonts w:ascii="Arial" w:eastAsia="Times New Roman" w:hAnsi="Arial" w:cs="Arial"/>
          <w:lang w:eastAsia="hr-HR"/>
        </w:rPr>
      </w:pP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Količine prema rješenju su određene temeljem stanja </w:t>
      </w:r>
      <w:r w:rsidR="008E1391">
        <w:rPr>
          <w:rFonts w:ascii="Arial" w:eastAsia="Times New Roman" w:hAnsi="Arial" w:cs="Arial"/>
          <w:lang w:eastAsia="hr-HR"/>
        </w:rPr>
        <w:t>2014</w:t>
      </w:r>
      <w:r w:rsidRPr="00B969FD">
        <w:rPr>
          <w:rFonts w:ascii="Arial" w:eastAsia="Times New Roman" w:hAnsi="Arial" w:cs="Arial"/>
          <w:lang w:eastAsia="hr-HR"/>
        </w:rPr>
        <w:t>. godine, a stanje plovnog puta je podložno promjenama. Vađenje na obalu se predviđa putem koncesija, a razmještanje unutar vodotoka kroz radove tehničkog održavanja. Postupak davanja koncesija je pokrenut ali neizvjesno je kada se mogu očekivati ugovori o koncesijama niti kada će početi radovi uklanjanja na taj način. Obzirom da održavanje plovnosti ima prioritet, nije isključeno da se dio količina koje se planiraju ukloniti putem koncesija uklone kroz radove tehničkog održavanja, ali opet u opsegu koji dozvoljava financijski okvir sredstva namijenjenih za tehničko održavanje u Godišnjim planovima Agencije za vodne putove.</w:t>
      </w:r>
    </w:p>
    <w:p w:rsidR="00B969FD" w:rsidRPr="00B969FD" w:rsidRDefault="008E1391" w:rsidP="00B969FD">
      <w:pPr>
        <w:tabs>
          <w:tab w:val="left" w:pos="8222"/>
        </w:tabs>
        <w:spacing w:after="200" w:line="276" w:lineRule="auto"/>
        <w:ind w:left="-5"/>
        <w:jc w:val="both"/>
        <w:rPr>
          <w:rFonts w:ascii="Arial" w:eastAsia="Times New Roman" w:hAnsi="Arial" w:cs="Arial"/>
          <w:lang w:eastAsia="hr-HR"/>
        </w:rPr>
      </w:pPr>
      <w:r>
        <w:rPr>
          <w:rFonts w:ascii="Arial" w:eastAsia="Times New Roman" w:hAnsi="Arial" w:cs="Arial"/>
          <w:lang w:eastAsia="hr-HR"/>
        </w:rPr>
        <w:t xml:space="preserve">Na ostalim </w:t>
      </w:r>
      <w:r w:rsidR="00B969FD" w:rsidRPr="00B969FD">
        <w:rPr>
          <w:rFonts w:ascii="Arial" w:eastAsia="Times New Roman" w:hAnsi="Arial" w:cs="Arial"/>
          <w:lang w:eastAsia="hr-HR"/>
        </w:rPr>
        <w:t>plićacima moguće su samo selektivne intervencije u ograničenim količinama prema rješenjima inspekcije sigurnosti plovidbe.</w:t>
      </w:r>
    </w:p>
    <w:p w:rsidR="00B969FD" w:rsidRPr="00B969FD" w:rsidRDefault="00B969FD" w:rsidP="00B969FD">
      <w:pPr>
        <w:spacing w:after="0" w:line="240" w:lineRule="auto"/>
        <w:jc w:val="both"/>
        <w:rPr>
          <w:rFonts w:ascii="Arial" w:eastAsia="Times New Roman" w:hAnsi="Arial" w:cs="Arial"/>
          <w:lang w:eastAsia="hr-HR"/>
        </w:rPr>
      </w:pPr>
      <w:r w:rsidRPr="00B969FD">
        <w:rPr>
          <w:rFonts w:ascii="Arial" w:eastAsia="Times New Roman" w:hAnsi="Arial" w:cs="Arial"/>
          <w:lang w:eastAsia="hr-HR"/>
        </w:rPr>
        <w:t>Moguće je da će se dio aktivnosti uklanjanja nanosa obaviti putem radova tehničkog održavanja vodotoka koje provode Hrvatske vode usklađujući svoje aktivnosti s Agencijom za vodne putove.</w:t>
      </w:r>
    </w:p>
    <w:p w:rsidR="00B969FD" w:rsidRPr="00B969FD" w:rsidRDefault="00B969FD" w:rsidP="00B969FD">
      <w:pPr>
        <w:tabs>
          <w:tab w:val="left" w:pos="8222"/>
        </w:tabs>
        <w:spacing w:after="0" w:line="276" w:lineRule="auto"/>
        <w:ind w:left="-6"/>
        <w:jc w:val="both"/>
        <w:rPr>
          <w:rFonts w:ascii="Arial" w:eastAsia="Times New Roman" w:hAnsi="Arial" w:cs="Arial"/>
          <w:lang w:eastAsia="hr-HR"/>
        </w:rPr>
      </w:pPr>
    </w:p>
    <w:p w:rsidR="00B969FD" w:rsidRPr="00B969FD" w:rsidRDefault="00B969FD" w:rsidP="00B969FD">
      <w:pPr>
        <w:tabs>
          <w:tab w:val="left" w:pos="8222"/>
        </w:tabs>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Niti na </w:t>
      </w:r>
      <w:r w:rsidR="008E1391">
        <w:rPr>
          <w:rFonts w:ascii="Arial" w:eastAsia="Times New Roman" w:hAnsi="Arial" w:cs="Arial"/>
          <w:lang w:eastAsia="hr-HR"/>
        </w:rPr>
        <w:t>Savi</w:t>
      </w:r>
      <w:r w:rsidRPr="00B969FD">
        <w:rPr>
          <w:rFonts w:ascii="Arial" w:eastAsia="Times New Roman" w:hAnsi="Arial" w:cs="Arial"/>
          <w:lang w:eastAsia="hr-HR"/>
        </w:rPr>
        <w:t xml:space="preserve"> niti na </w:t>
      </w:r>
      <w:r w:rsidR="008E1391">
        <w:rPr>
          <w:rFonts w:ascii="Arial" w:eastAsia="Times New Roman" w:hAnsi="Arial" w:cs="Arial"/>
          <w:lang w:eastAsia="hr-HR"/>
        </w:rPr>
        <w:t>Kupi i Uni</w:t>
      </w:r>
      <w:r w:rsidRPr="00B969FD">
        <w:rPr>
          <w:rFonts w:ascii="Arial" w:eastAsia="Times New Roman" w:hAnsi="Arial" w:cs="Arial"/>
          <w:lang w:eastAsia="hr-HR"/>
        </w:rPr>
        <w:t xml:space="preserve"> nisu predviđene točne lokacije za tehničko čišćenje. Iste ovise od režima tečenja i pronošenja nanosa, te će ih Naručitelj definirati nakon što se uoče smetnje u plovidbi ili utvrdi zapunjenost korita plovnog puta nanosom. Nanos uklonjen iz pojasa plovnog puta se odlaže unutar vodotoka izvan pojasa plovnog puta, a postoji i mogućnost odlaganja na obalnu deponiju te predaja pijeska Hrvatskim vodama – Hidrotehnički objekti koji su sukladno Zakunu o vodama jedini nadležni i ovlaštenu za daljnju prodaju.</w:t>
      </w:r>
    </w:p>
    <w:p w:rsidR="00B969FD" w:rsidRPr="00B969FD" w:rsidRDefault="00B969FD" w:rsidP="00B969FD">
      <w:pPr>
        <w:tabs>
          <w:tab w:val="left" w:pos="8222"/>
        </w:tabs>
        <w:spacing w:after="20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Ponudbenim troškovnikom su na temelju procjene predviđene  količine radova koje se prema dosadašnjem iskustvu predviđaju da će biti potrebno ukloniti jer mogu, i pored aktivnosti koncesija predstavljati smetnje u plovidbi.  </w:t>
      </w:r>
    </w:p>
    <w:p w:rsidR="00B969FD" w:rsidRPr="00B969FD" w:rsidRDefault="00B969FD" w:rsidP="00B969FD">
      <w:pPr>
        <w:tabs>
          <w:tab w:val="left" w:pos="8222"/>
        </w:tabs>
        <w:spacing w:after="20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Izvoditelj mora tijekom cijele godine svojim kapacitetima biti spreman obaviti radove tehničkog čišćenja u što kraćem roku kako bi se osigurala plovnost. Za radove tehničkog održavanja nužno je da Izvođač raspolaže mehanizacijom kojom se podvodni iskop može obavljati kontinuirano, bez da u dnu ostaju neiskopani dijelovi koji mogu stvarati smetnju u plovidbi kod niskih vodostaja i ugrožavati sigurnost plovidbe, te da se plovnom mehanizacijom može obavljati iskop na kontroliranu dubinu i kod promjena razina vode koje su prisutne na vodnim putovima uslijed promjena vodostaja. Dosadašnjim iskustvom na radovima pokazalo se da se iskop može obavljati različitom vrstom plovne mehanizacije, ali da je presudna učestala kontrola iskopa kako ne bi došlo do pojave stvaranja pojedinačnih rupa ili preskakanja s uzvišenjima, što ima za posljedicu nekontrolirani i nedozvoljeni višak iskopa ili mjestimično plići iskop koji ometa plovidbu. </w:t>
      </w:r>
    </w:p>
    <w:p w:rsidR="00B969FD" w:rsidRPr="00B969FD" w:rsidRDefault="00B969FD" w:rsidP="00B969FD">
      <w:pPr>
        <w:tabs>
          <w:tab w:val="left" w:pos="8222"/>
        </w:tabs>
        <w:spacing w:after="198" w:line="276" w:lineRule="auto"/>
        <w:ind w:left="-5"/>
        <w:jc w:val="both"/>
        <w:rPr>
          <w:rFonts w:ascii="Arial" w:eastAsia="Times New Roman" w:hAnsi="Arial" w:cs="Arial"/>
          <w:lang w:eastAsia="hr-HR"/>
        </w:rPr>
      </w:pPr>
      <w:r w:rsidRPr="00B969FD">
        <w:rPr>
          <w:rFonts w:ascii="Arial" w:eastAsia="Times New Roman" w:hAnsi="Arial" w:cs="Arial"/>
          <w:lang w:eastAsia="hr-HR"/>
        </w:rPr>
        <w:t>Karakteristike materijala:</w:t>
      </w:r>
    </w:p>
    <w:p w:rsidR="00B969FD" w:rsidRPr="00B969FD" w:rsidRDefault="008E1391" w:rsidP="00B969FD">
      <w:pPr>
        <w:numPr>
          <w:ilvl w:val="0"/>
          <w:numId w:val="3"/>
        </w:numPr>
        <w:tabs>
          <w:tab w:val="left" w:pos="8222"/>
        </w:tabs>
        <w:spacing w:after="198" w:line="276" w:lineRule="auto"/>
        <w:jc w:val="both"/>
        <w:rPr>
          <w:rFonts w:ascii="Arial" w:eastAsia="Times New Roman" w:hAnsi="Arial" w:cs="Arial"/>
          <w:lang w:eastAsia="hr-HR"/>
        </w:rPr>
      </w:pPr>
      <w:r>
        <w:rPr>
          <w:rFonts w:ascii="Arial" w:eastAsia="Times New Roman" w:hAnsi="Arial" w:cs="Arial"/>
          <w:lang w:eastAsia="hr-HR"/>
        </w:rPr>
        <w:t>S</w:t>
      </w:r>
      <w:r w:rsidR="00B969FD" w:rsidRPr="00B969FD">
        <w:rPr>
          <w:rFonts w:ascii="Arial" w:eastAsia="Times New Roman" w:hAnsi="Arial" w:cs="Arial"/>
          <w:lang w:eastAsia="hr-HR"/>
        </w:rPr>
        <w:t>itnozrni šljunak</w:t>
      </w:r>
      <w:r>
        <w:rPr>
          <w:rFonts w:ascii="Arial" w:eastAsia="Times New Roman" w:hAnsi="Arial" w:cs="Arial"/>
          <w:lang w:eastAsia="hr-HR"/>
        </w:rPr>
        <w:t xml:space="preserve"> i pijesak</w:t>
      </w:r>
      <w:r w:rsidR="00B969FD" w:rsidRPr="00B969FD">
        <w:rPr>
          <w:rFonts w:ascii="Arial" w:eastAsia="Times New Roman" w:hAnsi="Arial" w:cs="Arial"/>
          <w:lang w:eastAsia="hr-HR"/>
        </w:rPr>
        <w:t xml:space="preserve"> – Na </w:t>
      </w:r>
      <w:r w:rsidR="002261C8">
        <w:rPr>
          <w:rFonts w:ascii="Arial" w:eastAsia="Times New Roman" w:hAnsi="Arial" w:cs="Arial"/>
          <w:lang w:eastAsia="hr-HR"/>
        </w:rPr>
        <w:t>gornjem dijelu rijeke Save</w:t>
      </w:r>
      <w:r w:rsidR="00B969FD" w:rsidRPr="00B969FD">
        <w:rPr>
          <w:rFonts w:ascii="Arial" w:eastAsia="Times New Roman" w:hAnsi="Arial" w:cs="Arial"/>
          <w:lang w:eastAsia="hr-HR"/>
        </w:rPr>
        <w:t xml:space="preserve"> </w:t>
      </w:r>
      <w:r w:rsidR="002261C8">
        <w:rPr>
          <w:rFonts w:ascii="Arial" w:eastAsia="Times New Roman" w:hAnsi="Arial" w:cs="Arial"/>
          <w:lang w:eastAsia="hr-HR"/>
        </w:rPr>
        <w:t xml:space="preserve"> uzvodno Jasenovca do Siska</w:t>
      </w:r>
      <w:r w:rsidR="00B969FD" w:rsidRPr="00B969FD">
        <w:rPr>
          <w:rFonts w:ascii="Arial" w:eastAsia="Times New Roman" w:hAnsi="Arial" w:cs="Arial"/>
          <w:lang w:eastAsia="hr-HR"/>
        </w:rPr>
        <w:t xml:space="preserve">je nanos u pravilu od </w:t>
      </w:r>
      <w:r w:rsidR="002261C8">
        <w:rPr>
          <w:rFonts w:ascii="Arial" w:eastAsia="Times New Roman" w:hAnsi="Arial" w:cs="Arial"/>
          <w:lang w:eastAsia="hr-HR"/>
        </w:rPr>
        <w:t>šljunka sitnije granulacije, a mjestimično i krupnijeg  pijeska</w:t>
      </w:r>
      <w:r w:rsidR="00B969FD" w:rsidRPr="00B969FD">
        <w:rPr>
          <w:rFonts w:ascii="Arial" w:eastAsia="Times New Roman" w:hAnsi="Arial" w:cs="Arial"/>
          <w:lang w:eastAsia="hr-HR"/>
        </w:rPr>
        <w:t xml:space="preserve">, Nanos je u rastresitom stanju nevezan, a iskop je moguć svim vrstama plovne mehanizacije koja je namijenjena za iskop, </w:t>
      </w:r>
    </w:p>
    <w:p w:rsidR="00B969FD" w:rsidRDefault="00B969FD" w:rsidP="00B969FD">
      <w:pPr>
        <w:numPr>
          <w:ilvl w:val="0"/>
          <w:numId w:val="3"/>
        </w:numPr>
        <w:tabs>
          <w:tab w:val="left" w:pos="8222"/>
        </w:tabs>
        <w:spacing w:after="198" w:line="276" w:lineRule="auto"/>
        <w:jc w:val="both"/>
        <w:rPr>
          <w:rFonts w:ascii="Arial" w:eastAsia="Times New Roman" w:hAnsi="Arial" w:cs="Arial"/>
          <w:lang w:eastAsia="hr-HR"/>
        </w:rPr>
      </w:pPr>
      <w:r w:rsidRPr="00B969FD">
        <w:rPr>
          <w:rFonts w:ascii="Arial" w:eastAsia="Times New Roman" w:hAnsi="Arial" w:cs="Arial"/>
          <w:lang w:eastAsia="hr-HR"/>
        </w:rPr>
        <w:lastRenderedPageBreak/>
        <w:t>Zemljano</w:t>
      </w:r>
      <w:r w:rsidR="00992EFC">
        <w:rPr>
          <w:rFonts w:ascii="Arial" w:eastAsia="Times New Roman" w:hAnsi="Arial" w:cs="Arial"/>
          <w:lang w:eastAsia="hr-HR"/>
        </w:rPr>
        <w:t>-šljunkoviti (</w:t>
      </w:r>
      <w:r w:rsidRPr="00B969FD">
        <w:rPr>
          <w:rFonts w:ascii="Arial" w:eastAsia="Times New Roman" w:hAnsi="Arial" w:cs="Arial"/>
          <w:lang w:eastAsia="hr-HR"/>
        </w:rPr>
        <w:t>pjeskoviti</w:t>
      </w:r>
      <w:r w:rsidR="00992EFC">
        <w:rPr>
          <w:rFonts w:ascii="Arial" w:eastAsia="Times New Roman" w:hAnsi="Arial" w:cs="Arial"/>
          <w:lang w:eastAsia="hr-HR"/>
        </w:rPr>
        <w:t>)</w:t>
      </w:r>
      <w:r w:rsidRPr="00B969FD">
        <w:rPr>
          <w:rFonts w:ascii="Arial" w:eastAsia="Times New Roman" w:hAnsi="Arial" w:cs="Arial"/>
          <w:lang w:eastAsia="hr-HR"/>
        </w:rPr>
        <w:t xml:space="preserve"> materijal – na lokacijama nizvodno intenzivnog urušavanja obala ili manjih pritoka koje mogu donijeti muljeviti zemljani materijal, nanos </w:t>
      </w:r>
      <w:r w:rsidR="002261C8">
        <w:rPr>
          <w:rFonts w:ascii="Arial" w:eastAsia="Times New Roman" w:hAnsi="Arial" w:cs="Arial"/>
          <w:lang w:eastAsia="hr-HR"/>
        </w:rPr>
        <w:t>šljunka i pijeska</w:t>
      </w:r>
      <w:r w:rsidRPr="00B969FD">
        <w:rPr>
          <w:rFonts w:ascii="Arial" w:eastAsia="Times New Roman" w:hAnsi="Arial" w:cs="Arial"/>
          <w:lang w:eastAsia="hr-HR"/>
        </w:rPr>
        <w:t xml:space="preserve"> može biti pomiješan s muljem odnosno zemljom. Iskop ovog materijala je moguć svim vrstama plovne mehanizacije namijenjene za iskop. Kod bagera vedričara moguće je lijepljenje zemlje u kofama, što otežava umanjuje učinkovitost bagera.</w:t>
      </w:r>
    </w:p>
    <w:p w:rsidR="002261C8" w:rsidRDefault="002261C8" w:rsidP="00B969FD">
      <w:pPr>
        <w:numPr>
          <w:ilvl w:val="0"/>
          <w:numId w:val="3"/>
        </w:numPr>
        <w:tabs>
          <w:tab w:val="left" w:pos="8222"/>
        </w:tabs>
        <w:spacing w:after="198" w:line="276" w:lineRule="auto"/>
        <w:jc w:val="both"/>
        <w:rPr>
          <w:rFonts w:ascii="Arial" w:eastAsia="Times New Roman" w:hAnsi="Arial" w:cs="Arial"/>
          <w:lang w:eastAsia="hr-HR"/>
        </w:rPr>
      </w:pPr>
      <w:r>
        <w:rPr>
          <w:rFonts w:ascii="Arial" w:eastAsia="Times New Roman" w:hAnsi="Arial" w:cs="Arial"/>
          <w:lang w:eastAsia="hr-HR"/>
        </w:rPr>
        <w:t xml:space="preserve">Šljunak krupnije granulacije – nizvodno ušća Vrbasa i ušća Bosne u </w:t>
      </w:r>
      <w:r w:rsidR="00992EFC">
        <w:rPr>
          <w:rFonts w:ascii="Arial" w:eastAsia="Times New Roman" w:hAnsi="Arial" w:cs="Arial"/>
          <w:lang w:eastAsia="hr-HR"/>
        </w:rPr>
        <w:t>S</w:t>
      </w:r>
      <w:bookmarkStart w:id="0" w:name="_GoBack"/>
      <w:bookmarkEnd w:id="0"/>
      <w:r>
        <w:rPr>
          <w:rFonts w:ascii="Arial" w:eastAsia="Times New Roman" w:hAnsi="Arial" w:cs="Arial"/>
          <w:lang w:eastAsia="hr-HR"/>
        </w:rPr>
        <w:t>avu se unosi šljunak krupnije granulacije. Iskop je moguć svim vrstama plovne mehanizacije. Iskop bagerima refulerima može biti otežan radi intenzivnog trošenja elemenata usisnih pumpi i cjevovoda.</w:t>
      </w:r>
    </w:p>
    <w:p w:rsidR="002261C8" w:rsidRPr="00B969FD" w:rsidRDefault="00D51F0F" w:rsidP="00B969FD">
      <w:pPr>
        <w:numPr>
          <w:ilvl w:val="0"/>
          <w:numId w:val="3"/>
        </w:numPr>
        <w:tabs>
          <w:tab w:val="left" w:pos="8222"/>
        </w:tabs>
        <w:spacing w:after="198" w:line="276" w:lineRule="auto"/>
        <w:jc w:val="both"/>
        <w:rPr>
          <w:rFonts w:ascii="Arial" w:eastAsia="Times New Roman" w:hAnsi="Arial" w:cs="Arial"/>
          <w:lang w:eastAsia="hr-HR"/>
        </w:rPr>
      </w:pPr>
      <w:r>
        <w:rPr>
          <w:rFonts w:ascii="Arial" w:eastAsia="Times New Roman" w:hAnsi="Arial" w:cs="Arial"/>
          <w:lang w:eastAsia="hr-HR"/>
        </w:rPr>
        <w:t>Stvd</w:t>
      </w:r>
      <w:r w:rsidR="002261C8">
        <w:rPr>
          <w:rFonts w:ascii="Arial" w:eastAsia="Times New Roman" w:hAnsi="Arial" w:cs="Arial"/>
          <w:lang w:eastAsia="hr-HR"/>
        </w:rPr>
        <w:t>nuti i dijelom okamenjeni šljunak (tako zvana „sedra“) – na dionici Jaruge-Novi Grad ima dosta proslojaka sedre. Na ostalim lokacijama je također ima ali u manjem opsegu</w:t>
      </w:r>
      <w:r>
        <w:rPr>
          <w:rFonts w:ascii="Arial" w:eastAsia="Times New Roman" w:hAnsi="Arial" w:cs="Arial"/>
          <w:lang w:eastAsia="hr-HR"/>
        </w:rPr>
        <w:t>). Veće pojavnost sedre je na lokacijama gdje se duže vrijeme nije obavljao iskop. Iskop ovog materijala gotovo nije moguć refulernim bagerima. Moguć je vedričarima i grajferima, a u najtežim slučajevima rovokopačem na plovnoj platformi</w:t>
      </w:r>
    </w:p>
    <w:p w:rsidR="00B969FD" w:rsidRPr="00B969FD" w:rsidRDefault="00B969FD" w:rsidP="00B969FD">
      <w:pPr>
        <w:numPr>
          <w:ilvl w:val="0"/>
          <w:numId w:val="3"/>
        </w:numPr>
        <w:tabs>
          <w:tab w:val="left" w:pos="8222"/>
        </w:tabs>
        <w:spacing w:after="198" w:line="276" w:lineRule="auto"/>
        <w:jc w:val="both"/>
        <w:rPr>
          <w:rFonts w:ascii="Arial" w:eastAsia="Times New Roman" w:hAnsi="Arial" w:cs="Arial"/>
          <w:lang w:eastAsia="hr-HR"/>
        </w:rPr>
      </w:pPr>
      <w:r w:rsidRPr="00B969FD">
        <w:rPr>
          <w:rFonts w:ascii="Arial" w:eastAsia="Times New Roman" w:hAnsi="Arial" w:cs="Arial"/>
          <w:lang w:eastAsia="hr-HR"/>
        </w:rPr>
        <w:t>Prema propisanim mjerama Glavnih ocjena preporuča se iskope obavljati refulernim bagerima</w:t>
      </w:r>
      <w:r w:rsidR="00D75BC8">
        <w:rPr>
          <w:rFonts w:ascii="Arial" w:eastAsia="Times New Roman" w:hAnsi="Arial" w:cs="Arial"/>
          <w:lang w:eastAsia="hr-HR"/>
        </w:rPr>
        <w:t>.</w:t>
      </w:r>
    </w:p>
    <w:p w:rsidR="00B969FD" w:rsidRPr="00B969FD" w:rsidRDefault="00B969FD" w:rsidP="00B969FD">
      <w:pPr>
        <w:tabs>
          <w:tab w:val="left" w:pos="8222"/>
        </w:tabs>
        <w:spacing w:after="241" w:line="276" w:lineRule="auto"/>
        <w:ind w:left="-5"/>
        <w:jc w:val="both"/>
        <w:rPr>
          <w:rFonts w:ascii="Arial" w:eastAsia="Times New Roman" w:hAnsi="Arial" w:cs="Arial"/>
          <w:lang w:eastAsia="hr-HR"/>
        </w:rPr>
      </w:pPr>
      <w:r w:rsidRPr="00B969FD">
        <w:rPr>
          <w:rFonts w:ascii="Arial" w:eastAsia="Times New Roman" w:hAnsi="Arial" w:cs="Arial"/>
          <w:lang w:eastAsia="hr-HR"/>
        </w:rPr>
        <w:t>Uklanjanje nanosa tj. šljunka i pijeska tijekom tehničkog održavanja vodnog puta mora  se obavljati sukladno odredbama članaka 97. do 104. Zakona o vodama (NN br.</w:t>
      </w:r>
      <w:hyperlink r:id="rId5" w:history="1">
        <w:r w:rsidRPr="00B969FD">
          <w:rPr>
            <w:rFonts w:ascii="Arial" w:eastAsia="Times New Roman" w:hAnsi="Arial" w:cs="Arial"/>
            <w:color w:val="0563C1" w:themeColor="hyperlink"/>
            <w:u w:val="single"/>
            <w:lang w:eastAsia="hr-HR"/>
          </w:rPr>
          <w:t>153/09</w:t>
        </w:r>
      </w:hyperlink>
      <w:r w:rsidRPr="00B969FD">
        <w:rPr>
          <w:rFonts w:ascii="Arial" w:eastAsia="Times New Roman" w:hAnsi="Arial" w:cs="Arial"/>
          <w:lang w:eastAsia="hr-HR"/>
        </w:rPr>
        <w:t xml:space="preserve">, </w:t>
      </w:r>
      <w:hyperlink r:id="rId6" w:history="1">
        <w:r w:rsidRPr="00B969FD">
          <w:rPr>
            <w:rFonts w:ascii="Arial" w:eastAsia="Times New Roman" w:hAnsi="Arial" w:cs="Arial"/>
            <w:color w:val="0563C1" w:themeColor="hyperlink"/>
            <w:u w:val="single"/>
            <w:lang w:eastAsia="hr-HR"/>
          </w:rPr>
          <w:t>63/11</w:t>
        </w:r>
      </w:hyperlink>
      <w:r w:rsidRPr="00B969FD">
        <w:rPr>
          <w:rFonts w:ascii="Arial" w:eastAsia="Times New Roman" w:hAnsi="Arial" w:cs="Arial"/>
          <w:lang w:eastAsia="hr-HR"/>
        </w:rPr>
        <w:t xml:space="preserve">, </w:t>
      </w:r>
      <w:hyperlink r:id="rId7" w:history="1">
        <w:r w:rsidRPr="00B969FD">
          <w:rPr>
            <w:rFonts w:ascii="Arial" w:eastAsia="Times New Roman" w:hAnsi="Arial" w:cs="Arial"/>
            <w:color w:val="0563C1" w:themeColor="hyperlink"/>
            <w:u w:val="single"/>
            <w:lang w:eastAsia="hr-HR"/>
          </w:rPr>
          <w:t>130/11</w:t>
        </w:r>
      </w:hyperlink>
      <w:r w:rsidRPr="00B969FD">
        <w:rPr>
          <w:rFonts w:ascii="Arial" w:eastAsia="Times New Roman" w:hAnsi="Arial" w:cs="Arial"/>
          <w:lang w:eastAsia="hr-HR"/>
        </w:rPr>
        <w:t xml:space="preserve">, </w:t>
      </w:r>
      <w:hyperlink r:id="rId8" w:history="1">
        <w:r w:rsidRPr="00B969FD">
          <w:rPr>
            <w:rFonts w:ascii="Arial" w:eastAsia="Times New Roman" w:hAnsi="Arial" w:cs="Arial"/>
            <w:color w:val="0563C1" w:themeColor="hyperlink"/>
            <w:u w:val="single"/>
            <w:lang w:eastAsia="hr-HR"/>
          </w:rPr>
          <w:t>56/13</w:t>
        </w:r>
      </w:hyperlink>
      <w:r w:rsidRPr="00B969FD">
        <w:rPr>
          <w:rFonts w:ascii="Arial" w:eastAsia="Times New Roman" w:hAnsi="Arial" w:cs="Arial"/>
          <w:color w:val="0563C1" w:themeColor="hyperlink"/>
          <w:u w:val="single"/>
          <w:lang w:eastAsia="hr-HR"/>
        </w:rPr>
        <w:t xml:space="preserve"> i 14/14</w:t>
      </w:r>
      <w:r w:rsidRPr="00B969FD">
        <w:rPr>
          <w:rFonts w:ascii="Arial" w:eastAsia="Times New Roman" w:hAnsi="Arial" w:cs="Arial"/>
          <w:lang w:eastAsia="hr-HR"/>
        </w:rPr>
        <w:t xml:space="preserve">) , što podrazumijeva: </w:t>
      </w:r>
    </w:p>
    <w:p w:rsidR="00B969FD" w:rsidRPr="00B969FD" w:rsidRDefault="00B969FD" w:rsidP="00B969FD">
      <w:pPr>
        <w:tabs>
          <w:tab w:val="left" w:pos="8222"/>
        </w:tabs>
        <w:spacing w:after="222" w:line="276" w:lineRule="auto"/>
        <w:ind w:left="-5" w:right="44" w:firstLine="5"/>
        <w:jc w:val="both"/>
        <w:rPr>
          <w:rFonts w:ascii="Arial" w:eastAsia="Times New Roman" w:hAnsi="Arial" w:cs="Arial"/>
          <w:lang w:eastAsia="hr-HR"/>
        </w:rPr>
      </w:pPr>
      <w:r w:rsidRPr="00B969FD">
        <w:rPr>
          <w:rFonts w:ascii="Arial" w:eastAsia="Times New Roman" w:hAnsi="Arial" w:cs="Arial"/>
          <w:lang w:eastAsia="hr-HR"/>
        </w:rPr>
        <w:t xml:space="preserve">Prije početka uklanjanja nanosa na pojedinoj dionici Naručitelj je dužan organizirati:  </w:t>
      </w:r>
    </w:p>
    <w:p w:rsidR="00B969FD" w:rsidRPr="00B969FD" w:rsidRDefault="00B969FD" w:rsidP="00B969FD">
      <w:pPr>
        <w:numPr>
          <w:ilvl w:val="0"/>
          <w:numId w:val="1"/>
        </w:numPr>
        <w:tabs>
          <w:tab w:val="left" w:pos="8222"/>
        </w:tabs>
        <w:spacing w:after="57" w:line="271" w:lineRule="auto"/>
        <w:ind w:hanging="294"/>
        <w:jc w:val="both"/>
        <w:rPr>
          <w:rFonts w:ascii="Arial" w:eastAsia="Times New Roman" w:hAnsi="Arial" w:cs="Arial"/>
          <w:lang w:eastAsia="hr-HR"/>
        </w:rPr>
      </w:pPr>
      <w:r w:rsidRPr="00B969FD">
        <w:rPr>
          <w:rFonts w:ascii="Arial" w:eastAsia="Times New Roman" w:hAnsi="Arial" w:cs="Arial"/>
          <w:lang w:eastAsia="hr-HR"/>
        </w:rPr>
        <w:t>Geodetsko snimanje stanje kinete plovnog puta i mjesta odlaganja uklonjenog materijala, te izradu tehničke dokumentacije s dokaznicom mjera. Dokumentacijom se mora previdjeti mjesto odlaganja uklonjenog nanosa. U slučaju da od snimanja i izrade tehničke dokumentacije pa do početka radova protekne više vremena u kojem dođe do znatnijih promjena u režimu vodostaja i pronošenja nanosa, naručitelj će  nanovo snimiti početno stanje dna kinete prije samog početka radova, a izvođač ga novelirati i verificirat ga od Naručitelja.</w:t>
      </w:r>
    </w:p>
    <w:p w:rsidR="00B969FD" w:rsidRPr="00B969FD" w:rsidRDefault="00B969FD" w:rsidP="00B969FD">
      <w:pPr>
        <w:numPr>
          <w:ilvl w:val="0"/>
          <w:numId w:val="1"/>
        </w:numPr>
        <w:spacing w:after="0" w:line="240" w:lineRule="auto"/>
        <w:ind w:left="709" w:hanging="294"/>
        <w:jc w:val="both"/>
        <w:rPr>
          <w:rFonts w:ascii="Arial" w:eastAsia="Times New Roman" w:hAnsi="Arial" w:cs="Arial"/>
          <w:lang w:eastAsia="hr-HR"/>
        </w:rPr>
      </w:pPr>
      <w:r w:rsidRPr="00B969FD">
        <w:rPr>
          <w:rFonts w:ascii="Arial" w:eastAsia="Times New Roman" w:hAnsi="Arial" w:cs="Arial"/>
          <w:lang w:eastAsia="hr-HR"/>
        </w:rPr>
        <w:t xml:space="preserve">Izraditi analizu </w:t>
      </w:r>
      <w:r w:rsidRPr="00B969FD">
        <w:rPr>
          <w:rFonts w:ascii="Arial" w:eastAsia="Times New Roman" w:hAnsi="Arial" w:cs="Arial"/>
          <w:color w:val="000000"/>
          <w:lang w:eastAsia="hr-HR"/>
        </w:rPr>
        <w:t>granulometrijskog sastava nanosa šljunka i pijeska s mjesta vađenja, osim ako nanos nije predviđen samo za razmještanje  u koritu vodotoka.</w:t>
      </w:r>
      <w:r w:rsidRPr="00B969FD">
        <w:rPr>
          <w:rFonts w:ascii="Arial" w:eastAsia="Times New Roman" w:hAnsi="Arial" w:cs="Arial"/>
          <w:lang w:eastAsia="hr-HR"/>
        </w:rPr>
        <w:t xml:space="preserve"> </w:t>
      </w:r>
    </w:p>
    <w:p w:rsidR="00B969FD" w:rsidRPr="00B969FD" w:rsidRDefault="00B969FD" w:rsidP="00B969FD">
      <w:pPr>
        <w:numPr>
          <w:ilvl w:val="0"/>
          <w:numId w:val="1"/>
        </w:numPr>
        <w:tabs>
          <w:tab w:val="left" w:pos="8222"/>
        </w:tabs>
        <w:spacing w:after="57" w:line="271" w:lineRule="auto"/>
        <w:ind w:hanging="294"/>
        <w:jc w:val="both"/>
        <w:rPr>
          <w:rFonts w:ascii="Arial" w:eastAsia="Times New Roman" w:hAnsi="Arial" w:cs="Arial"/>
          <w:lang w:eastAsia="hr-HR"/>
        </w:rPr>
      </w:pPr>
      <w:r w:rsidRPr="00B969FD">
        <w:rPr>
          <w:rFonts w:ascii="Arial" w:eastAsia="Times New Roman" w:hAnsi="Arial" w:cs="Arial"/>
          <w:lang w:eastAsia="hr-HR"/>
        </w:rPr>
        <w:t xml:space="preserve">Organizirati potrebna praćenja prema rješenjima Glavne ocjene prihvatljivosti zahvata na ekološku mrežu za zahvate na </w:t>
      </w:r>
      <w:r w:rsidR="00D75BC8">
        <w:rPr>
          <w:rFonts w:ascii="Arial" w:eastAsia="Times New Roman" w:hAnsi="Arial" w:cs="Arial"/>
          <w:lang w:eastAsia="hr-HR"/>
        </w:rPr>
        <w:t>Savi, Kupi i Uni</w:t>
      </w:r>
      <w:r w:rsidRPr="00B969FD">
        <w:rPr>
          <w:rFonts w:ascii="Arial" w:eastAsia="Times New Roman" w:hAnsi="Arial" w:cs="Arial"/>
          <w:lang w:eastAsia="hr-HR"/>
        </w:rPr>
        <w:t>. Neka praćenja je potrebno provesti prije početka radova, za vrijeme radova, a neka i nakon završetka radova.</w:t>
      </w:r>
    </w:p>
    <w:p w:rsidR="00B969FD" w:rsidRPr="00B969FD" w:rsidRDefault="00B969FD" w:rsidP="00B969FD">
      <w:pPr>
        <w:tabs>
          <w:tab w:val="left" w:pos="8222"/>
        </w:tabs>
        <w:spacing w:after="5" w:line="271" w:lineRule="auto"/>
        <w:ind w:left="720" w:right="423" w:hanging="294"/>
        <w:jc w:val="both"/>
        <w:rPr>
          <w:rFonts w:ascii="Arial" w:eastAsia="Times New Roman" w:hAnsi="Arial" w:cs="Arial"/>
          <w:lang w:eastAsia="hr-HR"/>
        </w:rPr>
      </w:pPr>
    </w:p>
    <w:p w:rsidR="00B969FD" w:rsidRPr="00B969FD" w:rsidRDefault="00B969FD" w:rsidP="00B969FD">
      <w:pPr>
        <w:tabs>
          <w:tab w:val="left" w:pos="8222"/>
        </w:tabs>
        <w:spacing w:after="5" w:line="271" w:lineRule="auto"/>
        <w:jc w:val="both"/>
        <w:rPr>
          <w:rFonts w:ascii="Arial" w:eastAsia="Times New Roman" w:hAnsi="Arial" w:cs="Arial"/>
          <w:lang w:eastAsia="hr-HR"/>
        </w:rPr>
      </w:pPr>
      <w:r w:rsidRPr="00B969FD">
        <w:rPr>
          <w:rFonts w:ascii="Arial" w:eastAsia="Times New Roman" w:hAnsi="Arial" w:cs="Arial"/>
          <w:lang w:eastAsia="hr-HR"/>
        </w:rPr>
        <w:t xml:space="preserve">Po dovršetku radova na pojedinim dionicama Naručitelj će zajedno s Izvoditeljem organizirati: </w:t>
      </w:r>
    </w:p>
    <w:p w:rsidR="00B969FD" w:rsidRPr="00B969FD" w:rsidRDefault="00B969FD" w:rsidP="00B969FD">
      <w:pPr>
        <w:numPr>
          <w:ilvl w:val="0"/>
          <w:numId w:val="1"/>
        </w:numPr>
        <w:tabs>
          <w:tab w:val="left" w:pos="8222"/>
        </w:tabs>
        <w:spacing w:after="48" w:line="271" w:lineRule="auto"/>
        <w:ind w:hanging="294"/>
        <w:jc w:val="both"/>
        <w:rPr>
          <w:rFonts w:ascii="Arial" w:eastAsia="Times New Roman" w:hAnsi="Arial" w:cs="Arial"/>
          <w:lang w:eastAsia="hr-HR"/>
        </w:rPr>
      </w:pPr>
      <w:r w:rsidRPr="00B969FD">
        <w:rPr>
          <w:rFonts w:ascii="Arial" w:eastAsia="Times New Roman" w:hAnsi="Arial" w:cs="Arial"/>
          <w:lang w:eastAsia="hr-HR"/>
        </w:rPr>
        <w:t xml:space="preserve">Geodetsko snimanje izvedenog stanje na mjestu iskopa, kao i na mjestu odlaganja, obavit će naručitelj. </w:t>
      </w:r>
    </w:p>
    <w:p w:rsidR="00B969FD" w:rsidRPr="00B969FD" w:rsidRDefault="00B969FD" w:rsidP="00B969FD">
      <w:pPr>
        <w:numPr>
          <w:ilvl w:val="0"/>
          <w:numId w:val="1"/>
        </w:numPr>
        <w:tabs>
          <w:tab w:val="left" w:pos="8222"/>
        </w:tabs>
        <w:spacing w:after="56" w:line="271" w:lineRule="auto"/>
        <w:ind w:hanging="295"/>
        <w:jc w:val="both"/>
        <w:rPr>
          <w:rFonts w:ascii="Arial" w:eastAsia="Times New Roman" w:hAnsi="Arial" w:cs="Arial"/>
          <w:lang w:eastAsia="hr-HR"/>
        </w:rPr>
      </w:pPr>
      <w:r w:rsidRPr="00B969FD">
        <w:rPr>
          <w:rFonts w:ascii="Arial" w:eastAsia="Times New Roman" w:hAnsi="Arial" w:cs="Arial"/>
          <w:lang w:eastAsia="hr-HR"/>
        </w:rPr>
        <w:t xml:space="preserve">Snimljeno stanje će se obraditi u skupnom Elaboratu izvedenog stanja s dokaznicama mjera koji sadrži cjeline:  izvršeni iskop, razmješteni materijal unutar korita vodotoka ili deponiran na obalnu deponiju. </w:t>
      </w:r>
    </w:p>
    <w:p w:rsidR="00B969FD" w:rsidRPr="00B969FD" w:rsidRDefault="00B969FD" w:rsidP="00B969FD">
      <w:pPr>
        <w:numPr>
          <w:ilvl w:val="0"/>
          <w:numId w:val="1"/>
        </w:numPr>
        <w:tabs>
          <w:tab w:val="left" w:pos="8222"/>
        </w:tabs>
        <w:spacing w:after="0" w:line="271" w:lineRule="auto"/>
        <w:ind w:hanging="360"/>
        <w:jc w:val="both"/>
        <w:rPr>
          <w:rFonts w:ascii="Arial" w:eastAsia="Times New Roman" w:hAnsi="Arial" w:cs="Arial"/>
          <w:lang w:eastAsia="hr-HR"/>
        </w:rPr>
      </w:pPr>
      <w:r w:rsidRPr="00B969FD">
        <w:rPr>
          <w:rFonts w:ascii="Arial" w:eastAsia="Times New Roman" w:hAnsi="Arial" w:cs="Arial"/>
          <w:lang w:eastAsia="hr-HR"/>
        </w:rPr>
        <w:lastRenderedPageBreak/>
        <w:t xml:space="preserve">Elaborat s geodetskim snimkama stanja prije početka radova, Elaborat nakon završetka radova, dostavlja se državnoj vodopravnoj inspekciji, rudarskoj inspekciji i Hrvatskim vodama. </w:t>
      </w:r>
    </w:p>
    <w:p w:rsidR="00B969FD" w:rsidRPr="00B969FD" w:rsidRDefault="00B969FD" w:rsidP="00B969FD">
      <w:pPr>
        <w:tabs>
          <w:tab w:val="left" w:pos="8222"/>
        </w:tabs>
        <w:spacing w:after="0"/>
        <w:rPr>
          <w:rFonts w:ascii="Arial" w:eastAsia="Times New Roman" w:hAnsi="Arial" w:cs="Arial"/>
          <w:lang w:eastAsia="hr-HR"/>
        </w:rPr>
      </w:pPr>
    </w:p>
    <w:p w:rsidR="00B969FD" w:rsidRPr="00B969FD" w:rsidRDefault="00B969FD" w:rsidP="00B969FD">
      <w:pPr>
        <w:tabs>
          <w:tab w:val="left" w:pos="8222"/>
        </w:tabs>
        <w:spacing w:after="260" w:line="276" w:lineRule="auto"/>
        <w:jc w:val="both"/>
        <w:rPr>
          <w:rFonts w:ascii="Arial" w:eastAsia="Times New Roman" w:hAnsi="Arial" w:cs="Arial"/>
          <w:lang w:eastAsia="hr-HR"/>
        </w:rPr>
      </w:pPr>
      <w:r w:rsidRPr="00B969FD">
        <w:rPr>
          <w:rFonts w:ascii="Arial" w:eastAsia="Times New Roman" w:hAnsi="Arial" w:cs="Arial"/>
          <w:lang w:eastAsia="hr-HR"/>
        </w:rPr>
        <w:t xml:space="preserve">Izvođač radova dužan ja za vrijeme obavljanja radova: </w:t>
      </w:r>
    </w:p>
    <w:p w:rsidR="00B969FD" w:rsidRPr="00B969FD" w:rsidRDefault="00B969FD" w:rsidP="00B969FD">
      <w:pPr>
        <w:numPr>
          <w:ilvl w:val="0"/>
          <w:numId w:val="1"/>
        </w:numPr>
        <w:tabs>
          <w:tab w:val="left" w:pos="8222"/>
        </w:tabs>
        <w:spacing w:after="48"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voditi Očevidnik vađenja šljunka i pijeska u skladu s odredbama Zakona o vodama. </w:t>
      </w:r>
    </w:p>
    <w:p w:rsidR="00B969FD" w:rsidRPr="00B969FD" w:rsidRDefault="00B969FD" w:rsidP="00B969FD">
      <w:pPr>
        <w:numPr>
          <w:ilvl w:val="0"/>
          <w:numId w:val="1"/>
        </w:numPr>
        <w:tabs>
          <w:tab w:val="left" w:pos="8222"/>
        </w:tabs>
        <w:spacing w:after="27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Materijal iz iskopa će se deponirati u koritu van plovnog puta ili ugraditi u prostore iza regulacionih građevina na lokacije koje će odrediti Naručitelj zajedno s Hrvatskim vodama, odnosno obalnu deponiju ukoliko će se materijal na pojedinim lokacijama uklanjati izvan korita vodotoka.</w:t>
      </w:r>
    </w:p>
    <w:p w:rsidR="00B969FD" w:rsidRPr="00B969FD" w:rsidRDefault="00D51F0F" w:rsidP="00B969FD">
      <w:pPr>
        <w:tabs>
          <w:tab w:val="left" w:pos="8222"/>
        </w:tabs>
        <w:spacing w:after="198" w:line="276" w:lineRule="auto"/>
        <w:ind w:left="-5"/>
        <w:jc w:val="both"/>
        <w:rPr>
          <w:rFonts w:ascii="Arial" w:eastAsia="Times New Roman" w:hAnsi="Arial" w:cs="Arial"/>
          <w:lang w:eastAsia="hr-HR"/>
        </w:rPr>
      </w:pPr>
      <w:r>
        <w:rPr>
          <w:rFonts w:ascii="Arial" w:eastAsia="Times New Roman" w:hAnsi="Arial" w:cs="Arial"/>
          <w:lang w:eastAsia="hr-HR"/>
        </w:rPr>
        <w:t xml:space="preserve">Svi vodni putovi se nalaze unutar ekološke mreže, a </w:t>
      </w:r>
      <w:r w:rsidR="00B969FD" w:rsidRPr="00B969FD">
        <w:rPr>
          <w:rFonts w:ascii="Arial" w:eastAsia="Times New Roman" w:hAnsi="Arial" w:cs="Arial"/>
          <w:lang w:eastAsia="hr-HR"/>
        </w:rPr>
        <w:t xml:space="preserve">dionica </w:t>
      </w:r>
      <w:r>
        <w:rPr>
          <w:rFonts w:ascii="Arial" w:eastAsia="Times New Roman" w:hAnsi="Arial" w:cs="Arial"/>
          <w:lang w:eastAsia="hr-HR"/>
        </w:rPr>
        <w:t xml:space="preserve">Save uzvodno Stare Gradiške do Gušća se </w:t>
      </w:r>
      <w:r w:rsidR="00B969FD" w:rsidRPr="00B969FD">
        <w:rPr>
          <w:rFonts w:ascii="Arial" w:eastAsia="Times New Roman" w:hAnsi="Arial" w:cs="Arial"/>
          <w:lang w:eastAsia="hr-HR"/>
        </w:rPr>
        <w:t xml:space="preserve">nalazi </w:t>
      </w:r>
      <w:r>
        <w:rPr>
          <w:rFonts w:ascii="Arial" w:eastAsia="Times New Roman" w:hAnsi="Arial" w:cs="Arial"/>
          <w:lang w:eastAsia="hr-HR"/>
        </w:rPr>
        <w:t>u zoni</w:t>
      </w:r>
      <w:r w:rsidR="00B969FD" w:rsidRPr="00B969FD">
        <w:rPr>
          <w:rFonts w:ascii="Arial" w:eastAsia="Times New Roman" w:hAnsi="Arial" w:cs="Arial"/>
          <w:lang w:eastAsia="hr-HR"/>
        </w:rPr>
        <w:t xml:space="preserve"> Parka prirode </w:t>
      </w:r>
      <w:r>
        <w:rPr>
          <w:rFonts w:ascii="Arial" w:eastAsia="Times New Roman" w:hAnsi="Arial" w:cs="Arial"/>
          <w:lang w:eastAsia="hr-HR"/>
        </w:rPr>
        <w:t xml:space="preserve">Lonjsko polje. Stoga </w:t>
      </w:r>
      <w:r w:rsidR="00B969FD" w:rsidRPr="00B969FD">
        <w:rPr>
          <w:rFonts w:ascii="Arial" w:eastAsia="Times New Roman" w:hAnsi="Arial" w:cs="Arial"/>
          <w:lang w:eastAsia="hr-HR"/>
        </w:rPr>
        <w:t xml:space="preserve"> potrebno je da se Izvođač prilikom izvođenja radova pridržava mjera zaštite okoliša. Za dio radove su ishođena rješenja Glavne ocjene prihvatljivosti zahvata za ekološku mrežu, a nakon isteka roka važenja ista će se obnoviti. Za nove lokacije će se pravovremeno provesti postupak i ishoditi potrebna rješenja od nadležnih institucija.</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Obavljanje radova moguće je uz provođenje mjera ublažavanja negativnih utjecaja zahvata na ciljeve očuvanja i cjelovitost područja ekološke mreže, kao i praćenja stanja i izvješćivanja o stanju ciljeva očuvanja cjelovitosti ekološke</w:t>
      </w:r>
      <w:r w:rsidR="00D51F0F">
        <w:rPr>
          <w:rFonts w:ascii="Arial" w:eastAsia="Times New Roman" w:hAnsi="Arial" w:cs="Arial"/>
          <w:lang w:eastAsia="hr-HR"/>
        </w:rPr>
        <w:t xml:space="preserve"> mreže kako je određeno rješene</w:t>
      </w:r>
      <w:r w:rsidRPr="00B969FD">
        <w:rPr>
          <w:rFonts w:ascii="Arial" w:eastAsia="Times New Roman" w:hAnsi="Arial" w:cs="Arial"/>
          <w:lang w:eastAsia="hr-HR"/>
        </w:rPr>
        <w:t xml:space="preserve">m Glavne ocjene prihvatljivosti zahvata na ekološku mrežu za zahvate na </w:t>
      </w:r>
      <w:r w:rsidR="00D51F0F">
        <w:rPr>
          <w:rFonts w:ascii="Arial" w:eastAsia="Times New Roman" w:hAnsi="Arial" w:cs="Arial"/>
          <w:lang w:eastAsia="hr-HR"/>
        </w:rPr>
        <w:t>Savi</w:t>
      </w:r>
      <w:r w:rsidRPr="00B969FD">
        <w:rPr>
          <w:rFonts w:ascii="Arial" w:eastAsia="Times New Roman" w:hAnsi="Arial" w:cs="Arial"/>
          <w:lang w:eastAsia="hr-HR"/>
        </w:rPr>
        <w:t xml:space="preserve"> koje </w:t>
      </w:r>
      <w:r w:rsidR="00D51F0F">
        <w:rPr>
          <w:rFonts w:ascii="Arial" w:eastAsia="Times New Roman" w:hAnsi="Arial" w:cs="Arial"/>
          <w:lang w:eastAsia="hr-HR"/>
        </w:rPr>
        <w:t>je</w:t>
      </w:r>
      <w:r w:rsidRPr="00B969FD">
        <w:rPr>
          <w:rFonts w:ascii="Arial" w:eastAsia="Times New Roman" w:hAnsi="Arial" w:cs="Arial"/>
          <w:lang w:eastAsia="hr-HR"/>
        </w:rPr>
        <w:t xml:space="preserve"> sastavni dio ove dokumentacije za nadmetanje.</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Mjere ublažavanja negativnih utjecaja zahvata na ciljeve očuvanja i cjelovitost područja ekološke mreže organiziraju i provode naručitelj i izvođač, a provođenje praćenja stanja i izvješćivanja o stanju ciljeva očuvanja cjelovitosti ekološke mreže organizira i provodi naručitelj što uključuje i angažiranje ovlaštenih stručnih osoba za obavljanje ovakvih vrsta praćenja.</w:t>
      </w:r>
    </w:p>
    <w:p w:rsidR="00B969FD" w:rsidRPr="00B969FD" w:rsidRDefault="00B969FD" w:rsidP="00B969FD">
      <w:pPr>
        <w:tabs>
          <w:tab w:val="left" w:pos="8222"/>
        </w:tabs>
        <w:spacing w:after="0" w:line="271" w:lineRule="auto"/>
        <w:jc w:val="both"/>
        <w:rPr>
          <w:rFonts w:ascii="Arial" w:eastAsia="Times New Roman" w:hAnsi="Arial" w:cs="Arial"/>
          <w:lang w:eastAsia="hr-HR"/>
        </w:rPr>
      </w:pPr>
      <w:r w:rsidRPr="00B969FD">
        <w:rPr>
          <w:rFonts w:ascii="Arial" w:eastAsia="Times New Roman" w:hAnsi="Arial" w:cs="Arial"/>
          <w:lang w:eastAsia="hr-HR"/>
        </w:rPr>
        <w:t>Prema propisanim mjerama radovi uklanjanja nanosa ne mogu se tijekom godine obavljati u  razdoblju:</w:t>
      </w:r>
    </w:p>
    <w:p w:rsidR="00B969FD" w:rsidRPr="00B969FD" w:rsidRDefault="00B969FD" w:rsidP="00B969FD">
      <w:pPr>
        <w:tabs>
          <w:tab w:val="left" w:pos="426"/>
        </w:tabs>
        <w:spacing w:after="0" w:line="271" w:lineRule="auto"/>
        <w:jc w:val="both"/>
        <w:rPr>
          <w:rFonts w:ascii="Arial" w:eastAsia="Times New Roman" w:hAnsi="Arial" w:cs="Arial"/>
          <w:lang w:eastAsia="hr-HR"/>
        </w:rPr>
      </w:pPr>
      <w:r w:rsidRPr="00B969FD">
        <w:rPr>
          <w:rFonts w:ascii="Arial" w:eastAsia="Times New Roman" w:hAnsi="Arial" w:cs="Arial"/>
          <w:lang w:eastAsia="hr-HR"/>
        </w:rPr>
        <w:tab/>
        <w:t xml:space="preserve">- od 01. </w:t>
      </w:r>
      <w:r w:rsidR="00D51F0F">
        <w:rPr>
          <w:rFonts w:ascii="Arial" w:eastAsia="Times New Roman" w:hAnsi="Arial" w:cs="Arial"/>
          <w:lang w:eastAsia="hr-HR"/>
        </w:rPr>
        <w:t>ožujka</w:t>
      </w:r>
      <w:r w:rsidRPr="00B969FD">
        <w:rPr>
          <w:rFonts w:ascii="Arial" w:eastAsia="Times New Roman" w:hAnsi="Arial" w:cs="Arial"/>
          <w:lang w:eastAsia="hr-HR"/>
        </w:rPr>
        <w:t xml:space="preserve"> do </w:t>
      </w:r>
      <w:r w:rsidR="00D51F0F">
        <w:rPr>
          <w:rFonts w:ascii="Arial" w:eastAsia="Times New Roman" w:hAnsi="Arial" w:cs="Arial"/>
          <w:lang w:eastAsia="hr-HR"/>
        </w:rPr>
        <w:t>01</w:t>
      </w:r>
      <w:r w:rsidRPr="00B969FD">
        <w:rPr>
          <w:rFonts w:ascii="Arial" w:eastAsia="Times New Roman" w:hAnsi="Arial" w:cs="Arial"/>
          <w:lang w:eastAsia="hr-HR"/>
        </w:rPr>
        <w:t xml:space="preserve">. </w:t>
      </w:r>
      <w:r w:rsidR="00D51F0F">
        <w:rPr>
          <w:rFonts w:ascii="Arial" w:eastAsia="Times New Roman" w:hAnsi="Arial" w:cs="Arial"/>
          <w:lang w:eastAsia="hr-HR"/>
        </w:rPr>
        <w:t>rujna</w:t>
      </w:r>
      <w:r w:rsidRPr="00B969FD">
        <w:rPr>
          <w:rFonts w:ascii="Arial" w:eastAsia="Times New Roman" w:hAnsi="Arial" w:cs="Arial"/>
          <w:lang w:eastAsia="hr-HR"/>
        </w:rPr>
        <w:t xml:space="preserve"> na </w:t>
      </w:r>
      <w:r w:rsidR="00D51F0F">
        <w:rPr>
          <w:rFonts w:ascii="Arial" w:eastAsia="Times New Roman" w:hAnsi="Arial" w:cs="Arial"/>
          <w:lang w:eastAsia="hr-HR"/>
        </w:rPr>
        <w:t>Savi</w:t>
      </w:r>
    </w:p>
    <w:p w:rsidR="00B969FD" w:rsidRPr="00B969FD" w:rsidRDefault="00B969FD" w:rsidP="00B969FD">
      <w:pPr>
        <w:tabs>
          <w:tab w:val="left" w:pos="426"/>
        </w:tabs>
        <w:spacing w:after="270" w:line="271" w:lineRule="auto"/>
        <w:jc w:val="both"/>
        <w:rPr>
          <w:rFonts w:ascii="Arial" w:eastAsia="Times New Roman" w:hAnsi="Arial" w:cs="Arial"/>
          <w:lang w:eastAsia="hr-HR"/>
        </w:rPr>
      </w:pPr>
      <w:r w:rsidRPr="00B969FD">
        <w:rPr>
          <w:rFonts w:ascii="Arial" w:eastAsia="Times New Roman" w:hAnsi="Arial" w:cs="Arial"/>
          <w:lang w:eastAsia="hr-HR"/>
        </w:rPr>
        <w:t>U slučaju donošenja novih rješenja, istima će biti određeni termini zabrane radova.</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 xml:space="preserve">Tehničkim održavanjem je predviđeno i obavljati manje popravke objekata sigurnosti za poboljšanje uvjeta plovidbe ( pera, T- pera, obaloutvrde, uzdužne građevine i sl.) na lokacijama na kojima dođe do oštećenja, kako bi se spriječilo daljnje oštećivanje i umanjenje funkcionalnosti tih objekata. Troškovnikom je predviđeno postavljanje madraca od geotekstila i popuna lomljenim kamenom oštećenih mjesta. Točan opseg i način popravka odredit će se elaboratom održavanja za svaki pojedini  slučaj. </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 xml:space="preserve">Za svaku lokaciju radova iskopa iz vodnog puta ili popravka objekata sigurnosti Izvođač je dužan ishoditi prometnu suglasnost Lučke kapetanije </w:t>
      </w:r>
      <w:r w:rsidR="00D51F0F">
        <w:rPr>
          <w:rFonts w:ascii="Arial" w:eastAsia="Times New Roman" w:hAnsi="Arial" w:cs="Arial"/>
          <w:lang w:eastAsia="hr-HR"/>
        </w:rPr>
        <w:t>Sisak</w:t>
      </w:r>
      <w:r w:rsidRPr="00B969FD">
        <w:rPr>
          <w:rFonts w:ascii="Arial" w:eastAsia="Times New Roman" w:hAnsi="Arial" w:cs="Arial"/>
          <w:lang w:eastAsia="hr-HR"/>
        </w:rPr>
        <w:t xml:space="preserve">, odnosno Lučke kapetanije </w:t>
      </w:r>
      <w:r w:rsidR="00D51F0F">
        <w:rPr>
          <w:rFonts w:ascii="Arial" w:eastAsia="Times New Roman" w:hAnsi="Arial" w:cs="Arial"/>
          <w:lang w:eastAsia="hr-HR"/>
        </w:rPr>
        <w:t>Slavonski Brod</w:t>
      </w:r>
      <w:r w:rsidRPr="00B969FD">
        <w:rPr>
          <w:rFonts w:ascii="Arial" w:eastAsia="Times New Roman" w:hAnsi="Arial" w:cs="Arial"/>
          <w:lang w:eastAsia="hr-HR"/>
        </w:rPr>
        <w:t xml:space="preserve">  za obavljanje radova plovnim objektima. </w:t>
      </w:r>
    </w:p>
    <w:p w:rsidR="00B969FD" w:rsidRPr="00B969FD" w:rsidRDefault="00B969FD" w:rsidP="00B969FD">
      <w:pPr>
        <w:keepNext/>
        <w:tabs>
          <w:tab w:val="left" w:pos="8222"/>
        </w:tabs>
        <w:spacing w:before="240" w:after="199"/>
        <w:ind w:left="432" w:right="848" w:firstLine="709"/>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lastRenderedPageBreak/>
        <w:t xml:space="preserve">Interventni radovi održavanja po nalogu inspekcije sigurnosti plovidbe </w:t>
      </w:r>
    </w:p>
    <w:p w:rsidR="00B969FD" w:rsidRPr="00B969FD"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Inspekcija sigurnosti unutarnje plovidbe ( kao i Kapetanije) imaju prema Zakonu o plovidbi unutarnjim vodama pravo i obvezu kontrole stanja plovnih putova. Pritom mogu rješenjem narediti obavljanje određenih radova radi uklanjanja smetnji u plovidbi i dovođenja plovnog puta u plovno stanje. </w:t>
      </w:r>
    </w:p>
    <w:p w:rsidR="00B969FD" w:rsidRPr="00B969FD" w:rsidRDefault="00B969FD" w:rsidP="00B969FD">
      <w:pPr>
        <w:tabs>
          <w:tab w:val="left" w:pos="8222"/>
          <w:tab w:val="left" w:pos="8364"/>
        </w:tabs>
        <w:spacing w:after="235"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Ponudbenim troškovnikom su predviđeni radovi uklanjanja nanosa u manjem opsegu na lokacijama na kojima se smetnje eventualno pojave. Ovi radovi će se obaviti na temelju utvrđenih količina ili vremenu angažiranja kapaciteta ako se radi o zahvatima u vrlo malom opsegu. </w:t>
      </w:r>
    </w:p>
    <w:p w:rsidR="00B969FD" w:rsidRPr="00B969FD" w:rsidRDefault="00B969FD" w:rsidP="00B969FD">
      <w:pPr>
        <w:tabs>
          <w:tab w:val="left" w:pos="8222"/>
          <w:tab w:val="left" w:pos="8364"/>
        </w:tabs>
        <w:spacing w:after="226"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Također se predviđaju interventni radovi na uklanjanju većih stabala iz kinete plovnog puta ako su smetnja za plovidbu, a svojom veličinom prelaze mogućnosti da ih ukloni služba za obilježavanje. Predviđeno je uklanjanje granja i plivajućih predmeta sa mjesta koja mogu predstavljati smetnje, vađenje potopljenih predmeta iz kinete plovnog puta. Ovakvi radovi ovisno od njihove prirode su predviđeni obračunavati prema utrošku vremena pojedine vrste mehanizacije i vremena angažiranih djelatnika na ovim poslovima. </w:t>
      </w:r>
      <w:r w:rsidR="00251955">
        <w:rPr>
          <w:rFonts w:ascii="Arial" w:eastAsia="Times New Roman" w:hAnsi="Arial" w:cs="Arial"/>
          <w:lang w:eastAsia="hr-HR"/>
        </w:rPr>
        <w:t>Ovi poslovi očekuju se više na gornjoj Savi od Jasenovca do Siska, a rjeđe na nizvodnim dionicama.</w:t>
      </w:r>
    </w:p>
    <w:p w:rsidR="00B969FD" w:rsidRPr="00B969FD" w:rsidRDefault="00B969FD" w:rsidP="00B969FD">
      <w:pPr>
        <w:tabs>
          <w:tab w:val="left" w:pos="8222"/>
          <w:tab w:val="left" w:pos="8364"/>
        </w:tabs>
        <w:spacing w:after="26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Naručitelj i izvođač radova  moraju količine  u troškovnicima  prihvatiti fleksibilno. Ovisno od stanja nakon prolaska velikih voda ili naloga inspekcije, točno će se utvrditi stanje, potrebne mjere sanacije, te definirati točne količine radova po stavkama, koje se mogu i znatnije razlikovati od predloženih u ponudbenim troškovnicima. Za interventno uklanjanje nanosa vrijede svi uvjeti i odredbe kao za radove tehničkog održavanja. </w:t>
      </w:r>
    </w:p>
    <w:p w:rsidR="00B969FD" w:rsidRPr="00B969FD" w:rsidRDefault="00B969FD" w:rsidP="00B969FD">
      <w:pPr>
        <w:tabs>
          <w:tab w:val="left" w:pos="8222"/>
          <w:tab w:val="left" w:pos="8364"/>
        </w:tabs>
        <w:spacing w:after="264" w:line="276" w:lineRule="auto"/>
        <w:ind w:left="-5"/>
        <w:jc w:val="both"/>
        <w:rPr>
          <w:rFonts w:ascii="Arial" w:eastAsia="Times New Roman" w:hAnsi="Arial" w:cs="Arial"/>
          <w:lang w:eastAsia="hr-HR"/>
        </w:rPr>
      </w:pPr>
      <w:r w:rsidRPr="00B969FD">
        <w:rPr>
          <w:rFonts w:ascii="Arial" w:eastAsia="Times New Roman" w:hAnsi="Arial" w:cs="Arial"/>
          <w:lang w:eastAsia="hr-HR"/>
        </w:rPr>
        <w:t>Obavljanje interventnih radova uklanjanja nanosa iz plovnog puta treba, ukoliko je moguće izbjegavati u razdoblju od 01. ožujka do 15. srpnja, a pritom je potrebno provoditi ostale mjere ublažavanja negativnih utjecaja zahvata na ciljeve očuvanja i cjelovitost područja ekološke mreže, a obvezno je potrebni izvijestiti inspekciju zaštite prirode.</w:t>
      </w:r>
    </w:p>
    <w:p w:rsidR="00B969FD" w:rsidRPr="00B969FD" w:rsidRDefault="00B969FD" w:rsidP="00B969FD">
      <w:pPr>
        <w:keepNext/>
        <w:tabs>
          <w:tab w:val="left" w:pos="8222"/>
        </w:tabs>
        <w:spacing w:before="240" w:after="53"/>
        <w:ind w:right="708"/>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t>Održavanje akvatorija i pristupa luka i lučica na vodnom putu r. Drave  na području nadležnosti Lučke Uprave Osijek i vodnom putu rijeke Dunav na području nadležnosti Lučke kapetanije Vukovar</w:t>
      </w:r>
    </w:p>
    <w:p w:rsidR="00B969FD" w:rsidRPr="00B969FD" w:rsidRDefault="00B969FD" w:rsidP="00B969FD">
      <w:pPr>
        <w:tabs>
          <w:tab w:val="left" w:pos="8222"/>
        </w:tabs>
        <w:spacing w:after="16"/>
        <w:rPr>
          <w:rFonts w:ascii="Arial" w:eastAsia="Times New Roman" w:hAnsi="Arial" w:cs="Arial"/>
          <w:lang w:eastAsia="hr-HR"/>
        </w:rPr>
      </w:pPr>
      <w:r w:rsidRPr="00B969FD">
        <w:rPr>
          <w:rFonts w:ascii="Arial" w:eastAsia="Times New Roman" w:hAnsi="Arial" w:cs="Arial"/>
          <w:lang w:eastAsia="hr-HR"/>
        </w:rPr>
        <w:t xml:space="preserve"> </w:t>
      </w:r>
    </w:p>
    <w:p w:rsidR="00B969FD" w:rsidRDefault="00B969FD" w:rsidP="00B969FD">
      <w:pPr>
        <w:tabs>
          <w:tab w:val="left" w:pos="8222"/>
        </w:tabs>
        <w:spacing w:after="237"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Na </w:t>
      </w:r>
      <w:r w:rsidR="00D75BC8">
        <w:rPr>
          <w:rFonts w:ascii="Arial" w:eastAsia="Times New Roman" w:hAnsi="Arial" w:cs="Arial"/>
          <w:lang w:eastAsia="hr-HR"/>
        </w:rPr>
        <w:t>Savi</w:t>
      </w:r>
      <w:r w:rsidRPr="00B969FD">
        <w:rPr>
          <w:rFonts w:ascii="Arial" w:eastAsia="Times New Roman" w:hAnsi="Arial" w:cs="Arial"/>
          <w:lang w:eastAsia="hr-HR"/>
        </w:rPr>
        <w:t xml:space="preserve"> se između km </w:t>
      </w:r>
      <w:r w:rsidR="00D75BC8">
        <w:rPr>
          <w:rFonts w:ascii="Arial" w:eastAsia="Times New Roman" w:hAnsi="Arial" w:cs="Arial"/>
          <w:lang w:eastAsia="hr-HR"/>
        </w:rPr>
        <w:t>362</w:t>
      </w:r>
      <w:r w:rsidRPr="00B969FD">
        <w:rPr>
          <w:rFonts w:ascii="Arial" w:eastAsia="Times New Roman" w:hAnsi="Arial" w:cs="Arial"/>
          <w:lang w:eastAsia="hr-HR"/>
        </w:rPr>
        <w:t xml:space="preserve"> i km </w:t>
      </w:r>
      <w:r w:rsidR="00D75BC8">
        <w:rPr>
          <w:rFonts w:ascii="Arial" w:eastAsia="Times New Roman" w:hAnsi="Arial" w:cs="Arial"/>
          <w:lang w:eastAsia="hr-HR"/>
        </w:rPr>
        <w:t>364</w:t>
      </w:r>
      <w:r w:rsidRPr="00B969FD">
        <w:rPr>
          <w:rFonts w:ascii="Arial" w:eastAsia="Times New Roman" w:hAnsi="Arial" w:cs="Arial"/>
          <w:lang w:eastAsia="hr-HR"/>
        </w:rPr>
        <w:t xml:space="preserve"> nalazi </w:t>
      </w:r>
      <w:r w:rsidR="00D75BC8">
        <w:rPr>
          <w:rFonts w:ascii="Arial" w:eastAsia="Times New Roman" w:hAnsi="Arial" w:cs="Arial"/>
          <w:lang w:eastAsia="hr-HR"/>
        </w:rPr>
        <w:t>otvoreno pristanište luke Slavonski Brod</w:t>
      </w:r>
      <w:r w:rsidR="0087719A">
        <w:rPr>
          <w:rFonts w:ascii="Arial" w:eastAsia="Times New Roman" w:hAnsi="Arial" w:cs="Arial"/>
          <w:lang w:eastAsia="hr-HR"/>
        </w:rPr>
        <w:t xml:space="preserve"> s terminalom za tekuće trete u Rušćici i vertikalnom obalom</w:t>
      </w:r>
      <w:r w:rsidRPr="00B969FD">
        <w:rPr>
          <w:rFonts w:ascii="Arial" w:eastAsia="Times New Roman" w:hAnsi="Arial" w:cs="Arial"/>
          <w:lang w:eastAsia="hr-HR"/>
        </w:rPr>
        <w:t xml:space="preserve">. Na km </w:t>
      </w:r>
      <w:r w:rsidR="00D75BC8">
        <w:rPr>
          <w:rFonts w:ascii="Arial" w:eastAsia="Times New Roman" w:hAnsi="Arial" w:cs="Arial"/>
          <w:lang w:eastAsia="hr-HR"/>
        </w:rPr>
        <w:t>587</w:t>
      </w:r>
      <w:r w:rsidRPr="00B969FD">
        <w:rPr>
          <w:rFonts w:ascii="Arial" w:eastAsia="Times New Roman" w:hAnsi="Arial" w:cs="Arial"/>
          <w:lang w:eastAsia="hr-HR"/>
        </w:rPr>
        <w:t xml:space="preserve"> nalazi se </w:t>
      </w:r>
      <w:r w:rsidR="0087719A">
        <w:rPr>
          <w:rFonts w:ascii="Arial" w:eastAsia="Times New Roman" w:hAnsi="Arial" w:cs="Arial"/>
          <w:lang w:eastAsia="hr-HR"/>
        </w:rPr>
        <w:t>terminal za tekuće trete luke Sisak. U km 5,0 do km 5,9 rijeke Kupe je Stara luka Sisak u kojoj već duži niz godina nema riječnog pretovara. U različitoj fazi gotovosti su pripreme za više pristaništa</w:t>
      </w:r>
      <w:r w:rsidR="00C138B6">
        <w:rPr>
          <w:rFonts w:ascii="Arial" w:eastAsia="Times New Roman" w:hAnsi="Arial" w:cs="Arial"/>
          <w:lang w:eastAsia="hr-HR"/>
        </w:rPr>
        <w:t>, kao putničko pristaništa na kupi u Sisku, putničko pristanište kod „Granika“ u Slav. Brodu, komunalno pristanište u Sisku te pristaništa za javna plovila u Davoru, staroj Gradišci i Jasenovcu</w:t>
      </w:r>
    </w:p>
    <w:p w:rsidR="00C138B6" w:rsidRPr="00B969FD" w:rsidRDefault="00C138B6" w:rsidP="00B969FD">
      <w:pPr>
        <w:tabs>
          <w:tab w:val="left" w:pos="8222"/>
        </w:tabs>
        <w:spacing w:after="237" w:line="276" w:lineRule="auto"/>
        <w:ind w:left="-5"/>
        <w:jc w:val="both"/>
        <w:rPr>
          <w:rFonts w:ascii="Arial" w:eastAsia="Times New Roman" w:hAnsi="Arial" w:cs="Arial"/>
          <w:lang w:eastAsia="hr-HR"/>
        </w:rPr>
      </w:pPr>
      <w:r>
        <w:rPr>
          <w:rFonts w:ascii="Arial" w:eastAsia="Times New Roman" w:hAnsi="Arial" w:cs="Arial"/>
          <w:lang w:eastAsia="hr-HR"/>
        </w:rPr>
        <w:t xml:space="preserve">U svim lukama i pristaništima su trenutno povoljne dubine za pristajanje, ali nije isključeno da se tijekom trajanja okvirnog sporazuma pojavi potreba za osiguranjem dubina u akvatorijima luka i pristaništa odnosno na dijelu prilaza od plovnog puta do </w:t>
      </w:r>
      <w:r w:rsidR="001554CF">
        <w:rPr>
          <w:rFonts w:ascii="Arial" w:eastAsia="Times New Roman" w:hAnsi="Arial" w:cs="Arial"/>
          <w:lang w:eastAsia="hr-HR"/>
        </w:rPr>
        <w:t xml:space="preserve">mjesta pristajanja, a sve ovisno od režima pronošenja i taloženja nanosa. </w:t>
      </w:r>
    </w:p>
    <w:p w:rsidR="00B969FD" w:rsidRPr="00B969FD" w:rsidRDefault="00B969FD" w:rsidP="00B969FD">
      <w:pPr>
        <w:tabs>
          <w:tab w:val="left" w:pos="8222"/>
        </w:tabs>
        <w:spacing w:after="236" w:line="276" w:lineRule="auto"/>
        <w:ind w:left="-5" w:right="44"/>
        <w:jc w:val="both"/>
        <w:rPr>
          <w:rFonts w:ascii="Arial" w:eastAsia="Times New Roman" w:hAnsi="Arial" w:cs="Arial"/>
          <w:lang w:eastAsia="hr-HR"/>
        </w:rPr>
      </w:pPr>
      <w:r w:rsidRPr="00B969FD">
        <w:rPr>
          <w:rFonts w:ascii="Arial" w:eastAsia="Times New Roman" w:hAnsi="Arial" w:cs="Arial"/>
          <w:lang w:eastAsia="hr-HR"/>
        </w:rPr>
        <w:lastRenderedPageBreak/>
        <w:t xml:space="preserve">Radovi čišćenja akvatorija obavljaju se u relativno skučenom prostoru, obzirom na prisutnost plovila koja borave u luci. </w:t>
      </w:r>
    </w:p>
    <w:p w:rsidR="00B969FD" w:rsidRPr="00B969FD" w:rsidRDefault="00B969FD" w:rsidP="00B969FD">
      <w:pPr>
        <w:tabs>
          <w:tab w:val="left" w:pos="8222"/>
        </w:tabs>
        <w:spacing w:after="236" w:line="276" w:lineRule="auto"/>
        <w:ind w:left="-5" w:right="44"/>
        <w:jc w:val="center"/>
        <w:rPr>
          <w:rFonts w:ascii="Arial" w:eastAsia="Times New Roman" w:hAnsi="Arial" w:cs="Arial"/>
          <w:b/>
          <w:lang w:eastAsia="hr-HR"/>
        </w:rPr>
      </w:pPr>
      <w:r w:rsidRPr="00B969FD">
        <w:rPr>
          <w:rFonts w:ascii="Arial" w:eastAsia="Times New Roman" w:hAnsi="Arial" w:cs="Arial"/>
          <w:b/>
          <w:lang w:eastAsia="hr-HR"/>
        </w:rPr>
        <w:t>Ostalo</w:t>
      </w:r>
    </w:p>
    <w:p w:rsidR="00B969FD" w:rsidRPr="00B969FD" w:rsidRDefault="00B969FD" w:rsidP="00B969FD">
      <w:pPr>
        <w:spacing w:after="270" w:line="276" w:lineRule="auto"/>
        <w:jc w:val="both"/>
        <w:rPr>
          <w:rFonts w:ascii="Arial" w:eastAsia="Times New Roman" w:hAnsi="Arial" w:cs="Arial"/>
          <w:lang w:eastAsia="hr-HR"/>
        </w:rPr>
      </w:pPr>
      <w:r w:rsidRPr="00B969FD">
        <w:rPr>
          <w:rFonts w:ascii="Arial" w:eastAsia="Times New Roman" w:hAnsi="Arial" w:cs="Arial"/>
          <w:lang w:eastAsia="hr-HR"/>
        </w:rPr>
        <w:t>Ponudbenim troškovnikom su predviđene okvirne količine radova za koje se prema dosadašnjem iskustvu mogu pojaviti potrebe radi otklanjanja smetnji u plovidbi. Prema iskustvu iz prethodnih godina i procjenama mogućnosti financiranja ocijenjen je opseg uklanjanje nanosa iz plovnog puta i akvatorija luka i lučica, kao i opseg održavanja objekata sigurnosti plovidbe za 4 godine, a količine su definirane u priloženom troškovniku. Nisu predviđene točne lokacije radova. Iste ovise od navedenih kriterija, te će ih Naručitelj pravovremeno definirati tijekom trajanja okvirnog sporazuma. Opseg pojedinih radova prema pojedinačnim ugovorima, definirat će se u skladu s tehničkim zahtjevima glede stanja plovnosti i  Godišnjim financijskim planom Agencije tj. raspoloživim financijskim sredstvima za tehničko održavanje vodnih putova.</w:t>
      </w:r>
    </w:p>
    <w:p w:rsidR="00B969FD" w:rsidRPr="00B969FD" w:rsidRDefault="00B969FD" w:rsidP="00B969FD">
      <w:pPr>
        <w:spacing w:after="270" w:line="276" w:lineRule="auto"/>
        <w:jc w:val="both"/>
        <w:rPr>
          <w:rFonts w:ascii="Arial" w:eastAsia="Times New Roman" w:hAnsi="Arial" w:cs="Arial"/>
          <w:lang w:eastAsia="hr-HR"/>
        </w:rPr>
      </w:pPr>
      <w:r w:rsidRPr="00B969FD">
        <w:rPr>
          <w:rFonts w:ascii="Arial" w:eastAsia="Times New Roman" w:hAnsi="Arial" w:cs="Arial"/>
          <w:lang w:eastAsia="hr-HR"/>
        </w:rPr>
        <w:t xml:space="preserve">Za interventno uklanjanje nanosa i održavanje akvatorija vrijede svi uvjeti i odredbe kao za radove tehničkog održavanja. </w:t>
      </w:r>
    </w:p>
    <w:p w:rsidR="00B969FD" w:rsidRPr="00B969FD" w:rsidRDefault="00B969FD" w:rsidP="00B969FD">
      <w:pPr>
        <w:spacing w:after="0" w:line="276" w:lineRule="auto"/>
        <w:jc w:val="both"/>
        <w:rPr>
          <w:rFonts w:ascii="Arial" w:eastAsia="Times New Roman" w:hAnsi="Arial" w:cs="Arial"/>
          <w:lang w:eastAsia="hr-HR"/>
        </w:rPr>
      </w:pPr>
      <w:r w:rsidRPr="00B969FD">
        <w:rPr>
          <w:rFonts w:ascii="Arial" w:eastAsia="Times New Roman" w:hAnsi="Arial" w:cs="Arial"/>
          <w:lang w:eastAsia="hr-HR"/>
        </w:rPr>
        <w:t>Ako tijekom izvršenja radova dođe do potrebe izvršenja radova po nalogu inspekcije , a koji nisu predviđeni troškovnikom, niti se mogu obračunati po utrošenom vremenu angažiranja opreme i radnika, te isti imaju karakter naknadnih i nepredviđenih radova, oni će se izvesti ali uz prethodnu kalkulaciju cijene i odobrenje ovlaštenog predstavnika naručitelja. Cijene za naknadne i nepredviđene radove utvrdit će se na temelju:</w:t>
      </w:r>
    </w:p>
    <w:p w:rsidR="00B969FD" w:rsidRPr="00B969FD" w:rsidRDefault="00B969FD" w:rsidP="00B969FD">
      <w:pPr>
        <w:spacing w:after="0" w:line="276" w:lineRule="auto"/>
        <w:jc w:val="both"/>
        <w:rPr>
          <w:rFonts w:ascii="Arial" w:eastAsia="Times New Roman" w:hAnsi="Arial" w:cs="Arial"/>
          <w:lang w:eastAsia="hr-HR"/>
        </w:rPr>
      </w:pP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utroška rada i materijala po prosječnim normama u graditeljstvu </w:t>
      </w: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cijena materijala važeća na dan podnošenja ponude, prosječne cijene na tržištu iz biltena „Standardna kalkulacija radova u vodnom gospodarstvu“ ili drugih odgovarajućih biltena ako se radi i specifičnim radovima </w:t>
      </w: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cijena radne snage prema prodajnoj cijeni sata rada iz ponude.</w:t>
      </w:r>
    </w:p>
    <w:p w:rsidR="00B969FD" w:rsidRPr="00B969FD" w:rsidRDefault="00B969FD" w:rsidP="00B969FD">
      <w:pPr>
        <w:numPr>
          <w:ilvl w:val="0"/>
          <w:numId w:val="4"/>
        </w:numPr>
        <w:spacing w:after="27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troškove strojeva i opreme na temelju normativa i važećih cijena iz ponude, odnosno cijena iz biltena „Standardna kalkulacija radova u vodnom gospodarstvu“. </w:t>
      </w:r>
    </w:p>
    <w:p w:rsidR="00B969FD" w:rsidRPr="00B969FD" w:rsidRDefault="00B969FD" w:rsidP="00B969FD">
      <w:pPr>
        <w:spacing w:after="270" w:line="276" w:lineRule="auto"/>
        <w:jc w:val="both"/>
        <w:rPr>
          <w:rFonts w:ascii="Calibri" w:eastAsia="Times New Roman" w:hAnsi="Calibri" w:cs="Times New Roman"/>
          <w:lang w:eastAsia="hr-HR"/>
        </w:rPr>
      </w:pPr>
      <w:r w:rsidRPr="00B969FD">
        <w:rPr>
          <w:rFonts w:ascii="Arial" w:eastAsia="Times New Roman" w:hAnsi="Arial" w:cs="Arial"/>
          <w:lang w:eastAsia="hr-HR"/>
        </w:rPr>
        <w:t xml:space="preserve">Cijela predmetna dionica rijeke </w:t>
      </w:r>
      <w:r w:rsidR="00C138B6">
        <w:rPr>
          <w:rFonts w:ascii="Arial" w:eastAsia="Times New Roman" w:hAnsi="Arial" w:cs="Arial"/>
          <w:lang w:eastAsia="hr-HR"/>
        </w:rPr>
        <w:t>Save, Kupe i Une</w:t>
      </w:r>
      <w:r w:rsidRPr="00B969FD">
        <w:rPr>
          <w:rFonts w:ascii="Arial" w:eastAsia="Times New Roman" w:hAnsi="Arial" w:cs="Arial"/>
          <w:lang w:eastAsia="hr-HR"/>
        </w:rPr>
        <w:t xml:space="preserve"> je u smislu zaštite okoliša u posebnom režimu, te je potrebno da je izvođač radova educiran za obavljanje radova u ovakvim uvjetima. Slijedom navedenog izvođač radova treba posjedovati certifikat za sustav upravljanja kvalitetom ISO 14001.</w:t>
      </w:r>
    </w:p>
    <w:p w:rsidR="00EA2E3A" w:rsidRDefault="00EA2E3A"/>
    <w:sectPr w:rsidR="00EA2E3A" w:rsidSect="00A741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98E"/>
    <w:multiLevelType w:val="hybridMultilevel"/>
    <w:tmpl w:val="C518BD4C"/>
    <w:lvl w:ilvl="0" w:tplc="994435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CDA4A">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0C76CE">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49480">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07FC6">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4D25A">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97FE">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DCE8">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A0EA48">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5AB76436"/>
    <w:multiLevelType w:val="hybridMultilevel"/>
    <w:tmpl w:val="8F6EDBA4"/>
    <w:lvl w:ilvl="0" w:tplc="CD166BDA">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A3A5A96"/>
    <w:multiLevelType w:val="hybridMultilevel"/>
    <w:tmpl w:val="C2167EAC"/>
    <w:lvl w:ilvl="0" w:tplc="CD166BDA">
      <w:start w:val="1"/>
      <w:numFmt w:val="bullet"/>
      <w:lvlText w:val="-"/>
      <w:lvlJc w:val="left"/>
      <w:pPr>
        <w:tabs>
          <w:tab w:val="num" w:pos="900"/>
        </w:tabs>
        <w:ind w:left="900" w:hanging="360"/>
      </w:pPr>
      <w:rPr>
        <w:rFonts w:ascii="Tahoma" w:eastAsia="Times New Roman" w:hAnsi="Tahoma" w:cs="Tahoma" w:hint="default"/>
      </w:rPr>
    </w:lvl>
    <w:lvl w:ilvl="1" w:tplc="041A000F">
      <w:start w:val="1"/>
      <w:numFmt w:val="decimal"/>
      <w:lvlText w:val="%2."/>
      <w:lvlJc w:val="left"/>
      <w:pPr>
        <w:tabs>
          <w:tab w:val="num" w:pos="1620"/>
        </w:tabs>
        <w:ind w:left="1620" w:hanging="360"/>
      </w:pPr>
      <w:rPr>
        <w:rFonts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
    <w:nsid w:val="7F744B6E"/>
    <w:multiLevelType w:val="hybridMultilevel"/>
    <w:tmpl w:val="575850C8"/>
    <w:lvl w:ilvl="0" w:tplc="085C3428">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9FD"/>
    <w:rsid w:val="001554CF"/>
    <w:rsid w:val="002261C8"/>
    <w:rsid w:val="00251955"/>
    <w:rsid w:val="002D6ADD"/>
    <w:rsid w:val="005623C6"/>
    <w:rsid w:val="0058187E"/>
    <w:rsid w:val="0072199B"/>
    <w:rsid w:val="00764C5B"/>
    <w:rsid w:val="007F754E"/>
    <w:rsid w:val="0087719A"/>
    <w:rsid w:val="008B2FA6"/>
    <w:rsid w:val="008E1391"/>
    <w:rsid w:val="00992EFC"/>
    <w:rsid w:val="00A64B83"/>
    <w:rsid w:val="00A74122"/>
    <w:rsid w:val="00B969FD"/>
    <w:rsid w:val="00C138B6"/>
    <w:rsid w:val="00D51F0F"/>
    <w:rsid w:val="00D75BC8"/>
    <w:rsid w:val="00E840CC"/>
    <w:rsid w:val="00EA2E3A"/>
    <w:rsid w:val="00F8574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28" TargetMode="External"/><Relationship Id="rId3" Type="http://schemas.openxmlformats.org/officeDocument/2006/relationships/settings" Target="settings.xml"/><Relationship Id="rId7" Type="http://schemas.openxmlformats.org/officeDocument/2006/relationships/hyperlink" Target="http://www.zakon.hr/cms.htm?id=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326" TargetMode="External"/><Relationship Id="rId5" Type="http://schemas.openxmlformats.org/officeDocument/2006/relationships/hyperlink" Target="http://www.zakon.hr/cms.htm?id=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3016</Words>
  <Characters>17193</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Vavrouš</dc:creator>
  <cp:lastModifiedBy>Ljiljana</cp:lastModifiedBy>
  <cp:revision>2</cp:revision>
  <dcterms:created xsi:type="dcterms:W3CDTF">2017-05-05T07:42:00Z</dcterms:created>
  <dcterms:modified xsi:type="dcterms:W3CDTF">2017-05-05T07:42:00Z</dcterms:modified>
</cp:coreProperties>
</file>