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01CD" w:rsidRPr="000C01CD" w:rsidRDefault="000C01CD" w:rsidP="000C01CD">
      <w:pPr>
        <w:pStyle w:val="Titel"/>
        <w:rPr>
          <w:color w:val="4691AF" w:themeColor="accent1"/>
          <w:sz w:val="48"/>
        </w:rPr>
      </w:pPr>
      <w:r w:rsidRPr="000C01CD">
        <w:rPr>
          <w:color w:val="4691AF" w:themeColor="accent1"/>
          <w:sz w:val="48"/>
        </w:rPr>
        <w:t>WAMOS (Waterway Monitoring System)</w:t>
      </w:r>
    </w:p>
    <w:p w:rsidR="000C01CD" w:rsidRDefault="000C01CD" w:rsidP="000C01CD">
      <w:pPr>
        <w:pStyle w:val="berschrift1"/>
        <w:keepLines w:val="0"/>
        <w:numPr>
          <w:ilvl w:val="0"/>
          <w:numId w:val="1"/>
        </w:numPr>
        <w:spacing w:before="360" w:after="120"/>
        <w:ind w:left="357" w:hanging="357"/>
      </w:pPr>
      <w:bookmarkStart w:id="0" w:name="_Ref373749487"/>
      <w:bookmarkStart w:id="1" w:name="_Toc475389087"/>
      <w:bookmarkStart w:id="2" w:name="_Toc478375706"/>
      <w:bookmarkStart w:id="3" w:name="_Toc487044187"/>
      <w:bookmarkStart w:id="4" w:name="_Toc494362461"/>
      <w:r w:rsidRPr="005B6070">
        <w:t>Overall Description</w:t>
      </w:r>
      <w:bookmarkEnd w:id="0"/>
      <w:bookmarkEnd w:id="1"/>
      <w:bookmarkEnd w:id="2"/>
      <w:bookmarkEnd w:id="3"/>
      <w:bookmarkEnd w:id="4"/>
    </w:p>
    <w:p w:rsidR="00CB173E" w:rsidRPr="005B6070" w:rsidRDefault="00CB173E" w:rsidP="00CB173E">
      <w:r w:rsidRPr="005B6070">
        <w:t>This chapter provides an overview of the system functionality and system interaction with other systems by means of a drafted business process, the product perspective and an overview of the needed use cases.</w:t>
      </w:r>
    </w:p>
    <w:p w:rsidR="00CB173E" w:rsidRPr="005B6070" w:rsidRDefault="00CB173E" w:rsidP="00CB173E">
      <w:pPr>
        <w:pStyle w:val="berschrift2"/>
        <w:numPr>
          <w:ilvl w:val="1"/>
          <w:numId w:val="1"/>
        </w:numPr>
        <w:spacing w:before="540" w:after="180" w:line="288" w:lineRule="auto"/>
        <w:ind w:left="576" w:hanging="576"/>
        <w:jc w:val="left"/>
      </w:pPr>
      <w:bookmarkStart w:id="5" w:name="_Toc475389088"/>
      <w:bookmarkStart w:id="6" w:name="_Ref475954248"/>
      <w:bookmarkStart w:id="7" w:name="_Toc478375707"/>
      <w:bookmarkStart w:id="8" w:name="_Ref478376325"/>
      <w:bookmarkStart w:id="9" w:name="_Ref478376365"/>
      <w:bookmarkStart w:id="10" w:name="_Ref478376373"/>
      <w:bookmarkStart w:id="11" w:name="_Ref478376391"/>
      <w:bookmarkStart w:id="12" w:name="_Toc487044188"/>
      <w:bookmarkStart w:id="13" w:name="_Toc494362462"/>
      <w:r w:rsidRPr="005B6070">
        <w:t>Business Process</w:t>
      </w:r>
      <w:bookmarkEnd w:id="5"/>
      <w:bookmarkEnd w:id="6"/>
      <w:bookmarkEnd w:id="7"/>
      <w:bookmarkEnd w:id="8"/>
      <w:bookmarkEnd w:id="9"/>
      <w:bookmarkEnd w:id="10"/>
      <w:bookmarkEnd w:id="11"/>
      <w:bookmarkEnd w:id="12"/>
      <w:bookmarkEnd w:id="13"/>
    </w:p>
    <w:p w:rsidR="00CB173E" w:rsidRPr="005B6070" w:rsidRDefault="00CB173E" w:rsidP="00CB173E">
      <w:r w:rsidRPr="005B6070">
        <w:t xml:space="preserve">One of the main activities of WAMOS is the collection and integration of data from different sources. As shown in </w:t>
      </w:r>
      <w:r w:rsidRPr="005B6070">
        <w:fldChar w:fldCharType="begin"/>
      </w:r>
      <w:r w:rsidRPr="005B6070">
        <w:instrText xml:space="preserve"> REF _Ref475958586 \h </w:instrText>
      </w:r>
      <w:r w:rsidRPr="005B6070">
        <w:fldChar w:fldCharType="separate"/>
      </w:r>
      <w:r w:rsidRPr="005B6070">
        <w:t xml:space="preserve">Figure </w:t>
      </w:r>
      <w:r>
        <w:rPr>
          <w:noProof/>
        </w:rPr>
        <w:t>3</w:t>
      </w:r>
      <w:r w:rsidRPr="005B6070">
        <w:fldChar w:fldCharType="end"/>
      </w:r>
      <w:r w:rsidRPr="005B6070">
        <w:t xml:space="preserve"> there are the IENC Data files, the </w:t>
      </w:r>
      <w:r w:rsidRPr="005B6070">
        <w:fldChar w:fldCharType="begin"/>
      </w:r>
      <w:r w:rsidRPr="005B6070">
        <w:instrText xml:space="preserve"> REF Nts \h </w:instrText>
      </w:r>
      <w:r w:rsidRPr="005B6070">
        <w:fldChar w:fldCharType="separate"/>
      </w:r>
      <w:r w:rsidRPr="005B6070">
        <w:t>NtS</w:t>
      </w:r>
      <w:r w:rsidRPr="005B6070">
        <w:fldChar w:fldCharType="end"/>
      </w:r>
      <w:r w:rsidRPr="005B6070">
        <w:t xml:space="preserve"> Web Service, the </w:t>
      </w:r>
      <w:r w:rsidRPr="005B6070">
        <w:fldChar w:fldCharType="begin"/>
      </w:r>
      <w:r w:rsidRPr="005B6070">
        <w:instrText xml:space="preserve"> REF RISIndexEncodingGuide \h </w:instrText>
      </w:r>
      <w:r w:rsidRPr="005B6070">
        <w:fldChar w:fldCharType="separate"/>
      </w:r>
      <w:r w:rsidRPr="005B6070">
        <w:t>RIS Index Encoding Guide</w:t>
      </w:r>
      <w:r w:rsidRPr="005B6070">
        <w:fldChar w:fldCharType="end"/>
      </w:r>
      <w:r w:rsidRPr="005B6070">
        <w:t xml:space="preserve"> and finally the national authorities, who provide data for their national stretch directly. This bundle of data contains all necessary information (e.g. actual water levels, fairway dimensions, riverbed surveys etc.) as basis for WAMOS’ functionalities.</w:t>
      </w:r>
    </w:p>
    <w:p w:rsidR="00CB173E" w:rsidRPr="005B6070" w:rsidRDefault="00CB173E" w:rsidP="00CB173E">
      <w:r w:rsidRPr="005B6070">
        <w:t>The data integration process shall be triggered in two different ways. One is to start it manually by an external message or input, the other is to call it periodically in a certain, configurable interval</w:t>
      </w:r>
      <w:r w:rsidRPr="005B6070">
        <w:rPr>
          <w:rStyle w:val="shorttext"/>
        </w:rPr>
        <w:t xml:space="preserve">. </w:t>
      </w:r>
      <w:r w:rsidRPr="005B6070">
        <w:t xml:space="preserve">Depending on the dependency of the data type, one of the two methods is called. </w:t>
      </w:r>
      <w:r w:rsidRPr="005B6070">
        <w:rPr>
          <w:rStyle w:val="shorttext"/>
        </w:rPr>
        <w:t>After the data has been transmitted</w:t>
      </w:r>
      <w:r w:rsidRPr="005B6070">
        <w:t>, it has to be checked, consolidated and stored in an internal database. The checks at this time of the import process are carried out automatically. The data is checked for structure, completeness and plausibility. Based on valid data the process activity is started, generating additional data. Manually imported data have to pass additional quality tests by the administrator</w:t>
      </w:r>
      <w:r w:rsidRPr="005B6070" w:rsidDel="00B3654D">
        <w:t xml:space="preserve"> </w:t>
      </w:r>
      <w:r w:rsidRPr="005B6070">
        <w:t>in a staging area and can be manually checked. Then the release for the productive system is made. In contrast to this, automatically imported data are imported directly into the productive area of the database. Finally, depending on the data type to be updated, the data is transferred to the external systems e.g. the Danube FIS Portal and RIS COMEX. Afterwards the data integration process is finished and starts again from the beginning after a certain time, depending on the update interval of the data type. For example the update interval of riverbed surveys may be one month, whereas the water levels will be transferred at least once a day. The data transmission is done using well-defined interfaces.</w:t>
      </w:r>
    </w:p>
    <w:p w:rsidR="00CB173E" w:rsidRPr="005B6070" w:rsidRDefault="00CB173E" w:rsidP="00CB173E">
      <w:r w:rsidRPr="005B6070">
        <w:t>The result of the data integration process is a database with valid, checked, homogeneous and harmonized data sets for visualization, analysis and export.</w:t>
      </w:r>
    </w:p>
    <w:p w:rsidR="00CB173E" w:rsidRPr="005B6070" w:rsidRDefault="00CB173E" w:rsidP="00CB173E">
      <w:r w:rsidRPr="005B6070">
        <w:t>The main activities of the waterway users are displaying data in the map and generating reports and statistics based on WAMOS data. This includes among others the display of Riverbed Changes, Hydrological Conditions, Available Fairway Depths and Water Levels. WAMOS presents all actual joined data in a map and shows all detailed data in form of attributes, charts, statistics and reports.</w:t>
      </w:r>
    </w:p>
    <w:p w:rsidR="00CB173E" w:rsidRPr="005B6070" w:rsidRDefault="00CB173E" w:rsidP="00CB173E">
      <w:r w:rsidRPr="005B6070">
        <w:t xml:space="preserve">Finally the updated map data shall be provided to the FIS-Portal or </w:t>
      </w:r>
      <w:r w:rsidRPr="005B6070">
        <w:rPr>
          <w:color w:val="346C82" w:themeColor="accent1" w:themeShade="BF"/>
        </w:rPr>
        <w:t>to</w:t>
      </w:r>
      <w:r w:rsidRPr="005B6070">
        <w:rPr>
          <w:color w:val="FF0000"/>
        </w:rPr>
        <w:t xml:space="preserve"> </w:t>
      </w:r>
      <w:r w:rsidRPr="005B6070">
        <w:t xml:space="preserve">the national authorities </w:t>
      </w:r>
      <w:r w:rsidRPr="005B6070">
        <w:rPr>
          <w:rStyle w:val="shorttext"/>
        </w:rPr>
        <w:t>in form of OGC services</w:t>
      </w:r>
      <w:r w:rsidRPr="005B6070">
        <w:t>. These external systems need the information for a seamless digitization of their data near the national borders. So it is guaranteed that both ends of a dataset fit together.</w:t>
      </w:r>
    </w:p>
    <w:p w:rsidR="00CB173E" w:rsidRPr="005B6070" w:rsidRDefault="00CB173E" w:rsidP="00CB173E">
      <w:r w:rsidRPr="005B6070">
        <w:t xml:space="preserve">Also shown in </w:t>
      </w:r>
      <w:r w:rsidRPr="005B6070">
        <w:fldChar w:fldCharType="begin"/>
      </w:r>
      <w:r w:rsidRPr="005B6070">
        <w:instrText xml:space="preserve"> REF _Ref475958586 \h </w:instrText>
      </w:r>
      <w:r w:rsidRPr="005B6070">
        <w:fldChar w:fldCharType="separate"/>
      </w:r>
      <w:r w:rsidRPr="005B6070">
        <w:t xml:space="preserve">Figure </w:t>
      </w:r>
      <w:r>
        <w:rPr>
          <w:noProof/>
        </w:rPr>
        <w:t>3</w:t>
      </w:r>
      <w:r w:rsidRPr="005B6070">
        <w:fldChar w:fldCharType="end"/>
      </w:r>
      <w:r w:rsidRPr="005B6070">
        <w:t xml:space="preserve"> are the different types of data sets transferred from each data source:</w:t>
      </w:r>
    </w:p>
    <w:p w:rsidR="00CB173E" w:rsidRPr="005B6070" w:rsidRDefault="00CB173E" w:rsidP="00CB173E">
      <w:pPr>
        <w:pStyle w:val="Listenabsatz"/>
        <w:numPr>
          <w:ilvl w:val="0"/>
          <w:numId w:val="2"/>
        </w:numPr>
      </w:pPr>
      <w:r w:rsidRPr="005B6070">
        <w:t>(NWA)-Waterway Area</w:t>
      </w:r>
    </w:p>
    <w:p w:rsidR="00CB173E" w:rsidRPr="005B6070" w:rsidRDefault="00CB173E" w:rsidP="00CB173E">
      <w:pPr>
        <w:pStyle w:val="Listenabsatz"/>
        <w:numPr>
          <w:ilvl w:val="0"/>
          <w:numId w:val="2"/>
        </w:numPr>
      </w:pPr>
      <w:r w:rsidRPr="005B6070">
        <w:t>(F)-Fairway dimensions</w:t>
      </w:r>
    </w:p>
    <w:p w:rsidR="00CB173E" w:rsidRPr="005B6070" w:rsidRDefault="00CB173E" w:rsidP="00CB173E">
      <w:pPr>
        <w:pStyle w:val="Listenabsatz"/>
        <w:numPr>
          <w:ilvl w:val="0"/>
          <w:numId w:val="2"/>
        </w:numPr>
      </w:pPr>
      <w:r w:rsidRPr="005B6070">
        <w:t>(SD)-Sections and Stretches</w:t>
      </w:r>
    </w:p>
    <w:p w:rsidR="00CB173E" w:rsidRPr="005B6070" w:rsidRDefault="00CB173E" w:rsidP="00CB173E">
      <w:pPr>
        <w:pStyle w:val="Listenabsatz"/>
        <w:numPr>
          <w:ilvl w:val="0"/>
          <w:numId w:val="2"/>
        </w:numPr>
      </w:pPr>
      <w:r w:rsidRPr="005B6070">
        <w:t>(RHM)-Distance Marks (</w:t>
      </w:r>
      <w:r w:rsidRPr="005B6070">
        <w:rPr>
          <w:color w:val="000000"/>
          <w:szCs w:val="20"/>
          <w:lang w:eastAsia="en-GB"/>
        </w:rPr>
        <w:t>Distance Marks along Waterway Axis and Distance Marks Ashore</w:t>
      </w:r>
      <w:r w:rsidRPr="005B6070">
        <w:t>)</w:t>
      </w:r>
    </w:p>
    <w:p w:rsidR="00CB173E" w:rsidRPr="005B6070" w:rsidRDefault="00CB173E" w:rsidP="00CB173E">
      <w:pPr>
        <w:pStyle w:val="Listenabsatz"/>
        <w:numPr>
          <w:ilvl w:val="0"/>
          <w:numId w:val="2"/>
        </w:numPr>
      </w:pPr>
      <w:r w:rsidRPr="005B6070">
        <w:t>(WA)-Waterway Axis</w:t>
      </w:r>
    </w:p>
    <w:p w:rsidR="00CB173E" w:rsidRPr="005B6070" w:rsidRDefault="00CB173E" w:rsidP="00CB173E">
      <w:pPr>
        <w:pStyle w:val="Listenabsatz"/>
        <w:numPr>
          <w:ilvl w:val="0"/>
          <w:numId w:val="2"/>
        </w:numPr>
      </w:pPr>
      <w:r w:rsidRPr="005B6070">
        <w:t xml:space="preserve">(BN)-Bottleneck </w:t>
      </w:r>
    </w:p>
    <w:p w:rsidR="00CB173E" w:rsidRPr="005B6070" w:rsidRDefault="00CB173E" w:rsidP="00CB173E">
      <w:pPr>
        <w:pStyle w:val="Listenabsatz"/>
        <w:numPr>
          <w:ilvl w:val="0"/>
          <w:numId w:val="2"/>
        </w:numPr>
      </w:pPr>
      <w:r w:rsidRPr="005B6070">
        <w:t>(G)-Waterway Gauge</w:t>
      </w:r>
    </w:p>
    <w:p w:rsidR="00CB173E" w:rsidRPr="005B6070" w:rsidRDefault="00CB173E" w:rsidP="00CB173E">
      <w:pPr>
        <w:pStyle w:val="Listenabsatz"/>
        <w:numPr>
          <w:ilvl w:val="0"/>
          <w:numId w:val="2"/>
        </w:numPr>
      </w:pPr>
      <w:r w:rsidRPr="005B6070">
        <w:t xml:space="preserve">(GM)-Gauge Measurements </w:t>
      </w:r>
    </w:p>
    <w:p w:rsidR="00CB173E" w:rsidRPr="005B6070" w:rsidRDefault="00CB173E" w:rsidP="00CB173E">
      <w:pPr>
        <w:pStyle w:val="Listenabsatz"/>
        <w:numPr>
          <w:ilvl w:val="0"/>
          <w:numId w:val="2"/>
        </w:numPr>
      </w:pPr>
      <w:r w:rsidRPr="005B6070">
        <w:t xml:space="preserve">(AF)-Available fairway depths </w:t>
      </w:r>
    </w:p>
    <w:p w:rsidR="00CB173E" w:rsidRPr="005B6070" w:rsidRDefault="00CB173E" w:rsidP="00CB173E">
      <w:pPr>
        <w:pStyle w:val="Listenabsatz"/>
        <w:numPr>
          <w:ilvl w:val="0"/>
          <w:numId w:val="2"/>
        </w:numPr>
      </w:pPr>
      <w:r w:rsidRPr="005B6070">
        <w:t xml:space="preserve">(SR)-Sounding Results </w:t>
      </w:r>
    </w:p>
    <w:p w:rsidR="00CB173E" w:rsidRPr="005B6070" w:rsidRDefault="00CB173E" w:rsidP="00CB173E">
      <w:pPr>
        <w:pStyle w:val="Listenabsatz"/>
        <w:numPr>
          <w:ilvl w:val="0"/>
          <w:numId w:val="2"/>
        </w:numPr>
      </w:pPr>
      <w:r w:rsidRPr="005B6070">
        <w:t xml:space="preserve">(FM)-Fairway Marks </w:t>
      </w:r>
    </w:p>
    <w:p w:rsidR="00CB173E" w:rsidRPr="005B6070" w:rsidRDefault="00CB173E" w:rsidP="00CB173E">
      <w:pPr>
        <w:pStyle w:val="Listenabsatz"/>
        <w:numPr>
          <w:ilvl w:val="0"/>
          <w:numId w:val="2"/>
        </w:numPr>
      </w:pPr>
      <w:r w:rsidRPr="005B6070">
        <w:t>(RMM)-Rehabilitation and Maintenance Measures</w:t>
      </w:r>
    </w:p>
    <w:p w:rsidR="00CB173E" w:rsidRPr="005B6070" w:rsidRDefault="00CB173E" w:rsidP="00CB173E">
      <w:pPr>
        <w:pStyle w:val="Listenabsatz"/>
        <w:numPr>
          <w:ilvl w:val="0"/>
          <w:numId w:val="2"/>
        </w:numPr>
      </w:pPr>
      <w:r w:rsidRPr="005B6070">
        <w:t>(WP)-Waterway Profile (including Water Level Reference Data)</w:t>
      </w:r>
    </w:p>
    <w:p w:rsidR="00CB173E" w:rsidRPr="005B6070" w:rsidRDefault="00CB173E" w:rsidP="00CB173E">
      <w:pPr>
        <w:jc w:val="center"/>
      </w:pPr>
      <w:r w:rsidRPr="005B6070">
        <w:rPr>
          <w:noProof/>
          <w:lang w:val="de-AT" w:eastAsia="de-AT"/>
        </w:rPr>
        <w:lastRenderedPageBreak/>
        <w:drawing>
          <wp:inline distT="0" distB="0" distL="0" distR="0" wp14:anchorId="48DBFE63" wp14:editId="3ABAE70B">
            <wp:extent cx="5447169" cy="8463064"/>
            <wp:effectExtent l="0" t="0" r="1270" b="0"/>
            <wp:docPr id="41" name="Grafik 40" descr="Business Proc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siness Process.png"/>
                    <pic:cNvPicPr/>
                  </pic:nvPicPr>
                  <pic:blipFill>
                    <a:blip r:embed="rId6" cstate="print"/>
                    <a:srcRect l="826" t="527" r="2149" b="3270"/>
                    <a:stretch>
                      <a:fillRect/>
                    </a:stretch>
                  </pic:blipFill>
                  <pic:spPr>
                    <a:xfrm>
                      <a:off x="0" y="0"/>
                      <a:ext cx="5450152" cy="8467699"/>
                    </a:xfrm>
                    <a:prstGeom prst="rect">
                      <a:avLst/>
                    </a:prstGeom>
                  </pic:spPr>
                </pic:pic>
              </a:graphicData>
            </a:graphic>
          </wp:inline>
        </w:drawing>
      </w:r>
    </w:p>
    <w:p w:rsidR="00CB173E" w:rsidRPr="005B6070" w:rsidRDefault="00CB173E" w:rsidP="00CB173E">
      <w:pPr>
        <w:pStyle w:val="Beschriftung"/>
      </w:pPr>
      <w:bookmarkStart w:id="14" w:name="_Ref475958586"/>
      <w:bookmarkStart w:id="15" w:name="_Toc478244697"/>
      <w:bookmarkStart w:id="16" w:name="_Toc487044256"/>
      <w:bookmarkStart w:id="17" w:name="_Toc494362530"/>
      <w:r w:rsidRPr="005B6070">
        <w:t xml:space="preserve">Figure </w:t>
      </w:r>
      <w:r w:rsidRPr="005B6070">
        <w:fldChar w:fldCharType="begin"/>
      </w:r>
      <w:r w:rsidRPr="005B6070">
        <w:instrText xml:space="preserve"> SEQ Figure \* ARABIC </w:instrText>
      </w:r>
      <w:r w:rsidRPr="005B6070">
        <w:fldChar w:fldCharType="separate"/>
      </w:r>
      <w:r>
        <w:rPr>
          <w:noProof/>
        </w:rPr>
        <w:t>3</w:t>
      </w:r>
      <w:r w:rsidRPr="005B6070">
        <w:rPr>
          <w:noProof/>
        </w:rPr>
        <w:fldChar w:fldCharType="end"/>
      </w:r>
      <w:bookmarkEnd w:id="14"/>
      <w:r w:rsidRPr="005B6070">
        <w:t>: WAMOS Business Process</w:t>
      </w:r>
      <w:bookmarkEnd w:id="15"/>
      <w:bookmarkEnd w:id="16"/>
      <w:bookmarkEnd w:id="17"/>
    </w:p>
    <w:p w:rsidR="00CB173E" w:rsidRPr="005B6070" w:rsidRDefault="00CB173E" w:rsidP="00CB173E">
      <w:pPr>
        <w:pStyle w:val="berschrift2"/>
        <w:numPr>
          <w:ilvl w:val="1"/>
          <w:numId w:val="1"/>
        </w:numPr>
        <w:spacing w:before="540" w:after="180" w:line="288" w:lineRule="auto"/>
        <w:ind w:left="576" w:hanging="576"/>
        <w:jc w:val="left"/>
      </w:pPr>
      <w:bookmarkStart w:id="18" w:name="_Toc475389089"/>
      <w:bookmarkStart w:id="19" w:name="_Ref477793277"/>
      <w:bookmarkStart w:id="20" w:name="_Ref477793282"/>
      <w:bookmarkStart w:id="21" w:name="_Toc478375708"/>
      <w:bookmarkStart w:id="22" w:name="_Ref478376396"/>
      <w:bookmarkStart w:id="23" w:name="_Ref479164061"/>
      <w:bookmarkStart w:id="24" w:name="_Toc487044189"/>
      <w:bookmarkStart w:id="25" w:name="_Toc494362463"/>
      <w:r w:rsidRPr="005B6070">
        <w:lastRenderedPageBreak/>
        <w:t>Product Perspective</w:t>
      </w:r>
      <w:bookmarkEnd w:id="18"/>
      <w:bookmarkEnd w:id="19"/>
      <w:bookmarkEnd w:id="20"/>
      <w:bookmarkEnd w:id="21"/>
      <w:bookmarkEnd w:id="22"/>
      <w:bookmarkEnd w:id="23"/>
      <w:bookmarkEnd w:id="24"/>
      <w:bookmarkEnd w:id="25"/>
      <w:r w:rsidRPr="005B6070">
        <w:t xml:space="preserve"> </w:t>
      </w:r>
    </w:p>
    <w:p w:rsidR="00CB173E" w:rsidRPr="005B6070" w:rsidRDefault="00CB173E" w:rsidP="00CB173E">
      <w:r w:rsidRPr="005B6070">
        <w:t xml:space="preserve">Based on the main functionality of WAMOS identified for the </w:t>
      </w:r>
      <w:r w:rsidRPr="005B6070">
        <w:fldChar w:fldCharType="begin"/>
      </w:r>
      <w:r w:rsidRPr="005B6070">
        <w:instrText xml:space="preserve"> REF _Ref475954248 \h </w:instrText>
      </w:r>
      <w:r w:rsidRPr="005B6070">
        <w:fldChar w:fldCharType="separate"/>
      </w:r>
      <w:r w:rsidRPr="005B6070">
        <w:t>Business Process</w:t>
      </w:r>
      <w:r w:rsidRPr="005B6070">
        <w:fldChar w:fldCharType="end"/>
      </w:r>
      <w:r w:rsidRPr="005B6070">
        <w:t>, Figure 3 shows all system components which are decisive for WAMOS, both internal and external.</w:t>
      </w:r>
    </w:p>
    <w:p w:rsidR="00CB173E" w:rsidRPr="005B6070" w:rsidRDefault="00CB173E" w:rsidP="00CB173E">
      <w:pPr>
        <w:pStyle w:val="Beschriftung"/>
        <w:jc w:val="center"/>
      </w:pPr>
      <w:bookmarkStart w:id="26" w:name="_Ref477793246"/>
      <w:bookmarkStart w:id="27" w:name="_Toc478244698"/>
      <w:bookmarkStart w:id="28" w:name="_Ref479234424"/>
      <w:r w:rsidRPr="005B6070">
        <w:rPr>
          <w:bCs w:val="0"/>
          <w:i w:val="0"/>
          <w:noProof/>
          <w:sz w:val="16"/>
          <w:szCs w:val="16"/>
          <w:lang w:val="de-AT" w:eastAsia="de-AT"/>
        </w:rPr>
        <w:drawing>
          <wp:inline distT="0" distB="0" distL="0" distR="0" wp14:anchorId="62BA71E1" wp14:editId="25AFAAB8">
            <wp:extent cx="5801791" cy="6876288"/>
            <wp:effectExtent l="19050" t="0" r="8459" b="0"/>
            <wp:docPr id="48" name="Grafik 47" descr="Component 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nent Model.png"/>
                    <pic:cNvPicPr/>
                  </pic:nvPicPr>
                  <pic:blipFill>
                    <a:blip r:embed="rId7" cstate="print"/>
                    <a:srcRect l="812" r="740"/>
                    <a:stretch>
                      <a:fillRect/>
                    </a:stretch>
                  </pic:blipFill>
                  <pic:spPr>
                    <a:xfrm>
                      <a:off x="0" y="0"/>
                      <a:ext cx="5802074" cy="6876623"/>
                    </a:xfrm>
                    <a:prstGeom prst="rect">
                      <a:avLst/>
                    </a:prstGeom>
                  </pic:spPr>
                </pic:pic>
              </a:graphicData>
            </a:graphic>
          </wp:inline>
        </w:drawing>
      </w:r>
    </w:p>
    <w:p w:rsidR="00CB173E" w:rsidRPr="005B6070" w:rsidRDefault="00CB173E" w:rsidP="00CB173E">
      <w:pPr>
        <w:pStyle w:val="Beschriftung"/>
      </w:pPr>
      <w:bookmarkStart w:id="29" w:name="_Ref489968656"/>
      <w:bookmarkStart w:id="30" w:name="_Toc487044257"/>
      <w:bookmarkStart w:id="31" w:name="_Toc494362531"/>
      <w:r w:rsidRPr="005B6070">
        <w:t xml:space="preserve">Figure </w:t>
      </w:r>
      <w:r w:rsidRPr="005B6070">
        <w:fldChar w:fldCharType="begin"/>
      </w:r>
      <w:r w:rsidRPr="005B6070">
        <w:instrText xml:space="preserve"> SEQ Figure \* ARABIC </w:instrText>
      </w:r>
      <w:r w:rsidRPr="005B6070">
        <w:fldChar w:fldCharType="separate"/>
      </w:r>
      <w:r>
        <w:rPr>
          <w:noProof/>
        </w:rPr>
        <w:t>4</w:t>
      </w:r>
      <w:r w:rsidRPr="005B6070">
        <w:rPr>
          <w:noProof/>
        </w:rPr>
        <w:fldChar w:fldCharType="end"/>
      </w:r>
      <w:bookmarkEnd w:id="26"/>
      <w:bookmarkEnd w:id="29"/>
      <w:r w:rsidRPr="005B6070">
        <w:t>: WAMOS System Context</w:t>
      </w:r>
      <w:bookmarkEnd w:id="27"/>
      <w:bookmarkEnd w:id="28"/>
      <w:bookmarkEnd w:id="30"/>
      <w:bookmarkEnd w:id="31"/>
    </w:p>
    <w:p w:rsidR="00CB173E" w:rsidRPr="005B6070" w:rsidRDefault="00CB173E" w:rsidP="00CB173E">
      <w:r w:rsidRPr="005B6070">
        <w:t>Outside of the WAMOS System border resides the FIS Portal (</w:t>
      </w:r>
      <w:hyperlink r:id="rId8" w:history="1">
        <w:r w:rsidRPr="005B6070">
          <w:rPr>
            <w:rStyle w:val="Hyperlink"/>
          </w:rPr>
          <w:t>http://www.danubeportal.com</w:t>
        </w:r>
      </w:hyperlink>
      <w:r w:rsidRPr="005B6070">
        <w:t xml:space="preserve">), the planned system(s) of RIS COMEX consuming the WAMOS data, the Notices to Skipper (NtS) Web Service, the National Data Providers, </w:t>
      </w:r>
      <w:proofErr w:type="gramStart"/>
      <w:r w:rsidRPr="005B6070">
        <w:t>the</w:t>
      </w:r>
      <w:proofErr w:type="gramEnd"/>
      <w:r w:rsidRPr="005B6070">
        <w:t xml:space="preserve"> D4D/IENC Data and RIS Index data.</w:t>
      </w:r>
    </w:p>
    <w:p w:rsidR="00CB173E" w:rsidRPr="005B6070" w:rsidRDefault="00CB173E" w:rsidP="00CB173E">
      <w:r w:rsidRPr="005B6070">
        <w:t>The WAMOS System can be divided into three tiers: First the data tier holding the database and data related components, second the business tier holding all components related to the business and presentation logic and third the presentation t</w:t>
      </w:r>
      <w:bookmarkStart w:id="32" w:name="_GoBack"/>
      <w:bookmarkEnd w:id="32"/>
      <w:r w:rsidRPr="005B6070">
        <w:t xml:space="preserve">ier that holds the client. </w:t>
      </w:r>
    </w:p>
    <w:p w:rsidR="00CB173E" w:rsidRPr="005B6070" w:rsidRDefault="00CB173E" w:rsidP="00CB173E">
      <w:r w:rsidRPr="005B6070">
        <w:t xml:space="preserve">A very important and in the concept figure also large component in the data tier is the interface component holding the input interfaces. All of the imported input data will be checked, consolidated and additional data will be generated in the data process component (see also Chapter </w:t>
      </w:r>
      <w:r w:rsidRPr="005B6070">
        <w:fldChar w:fldCharType="begin"/>
      </w:r>
      <w:r w:rsidRPr="005B6070">
        <w:instrText xml:space="preserve"> REF _Ref478376586 \r \h </w:instrText>
      </w:r>
      <w:r w:rsidRPr="005B6070">
        <w:fldChar w:fldCharType="separate"/>
      </w:r>
      <w:r>
        <w:t>2.4.4</w:t>
      </w:r>
      <w:r w:rsidRPr="005B6070">
        <w:fldChar w:fldCharType="end"/>
      </w:r>
      <w:r w:rsidRPr="005B6070">
        <w:t xml:space="preserve">). Afterwards the data is integrated in the database. </w:t>
      </w:r>
    </w:p>
    <w:p w:rsidR="00CB173E" w:rsidRPr="005B6070" w:rsidRDefault="00CB173E" w:rsidP="00CB173E">
      <w:r w:rsidRPr="005B6070">
        <w:rPr>
          <w:rStyle w:val="shorttext"/>
        </w:rPr>
        <w:t>Furthermore</w:t>
      </w:r>
      <w:r w:rsidRPr="005B6070">
        <w:t xml:space="preserve"> the business tier includes the components for authentication, authorization, monitoring, presentation and export.</w:t>
      </w:r>
    </w:p>
    <w:p w:rsidR="00CB173E" w:rsidRPr="005B6070" w:rsidRDefault="00CB173E" w:rsidP="00CB173E">
      <w:r w:rsidRPr="005B6070">
        <w:t xml:space="preserve">The presentation itself is done by the client </w:t>
      </w:r>
      <w:r w:rsidRPr="005B6070">
        <w:rPr>
          <w:rStyle w:val="shorttext"/>
        </w:rPr>
        <w:t xml:space="preserve">implemented as a web application. </w:t>
      </w:r>
      <w:r w:rsidRPr="005B6070">
        <w:t>The client uses external web services (e.g. aerial images from Google services), but also WAMOS map data. All functionalities are backed by the presentation logic hosted at the WAMOS server.</w:t>
      </w:r>
    </w:p>
    <w:p w:rsidR="00CB173E" w:rsidRPr="005B6070" w:rsidRDefault="00CB173E" w:rsidP="00CB173E">
      <w:pPr>
        <w:pStyle w:val="berschrift2"/>
        <w:numPr>
          <w:ilvl w:val="1"/>
          <w:numId w:val="1"/>
        </w:numPr>
        <w:spacing w:before="540" w:after="180" w:line="288" w:lineRule="auto"/>
        <w:ind w:left="576" w:hanging="576"/>
        <w:jc w:val="left"/>
      </w:pPr>
      <w:bookmarkStart w:id="33" w:name="_Ref483311655"/>
      <w:bookmarkStart w:id="34" w:name="_Toc487044190"/>
      <w:bookmarkStart w:id="35" w:name="_Toc494362464"/>
      <w:r w:rsidRPr="005B6070">
        <w:t>User Characteristics</w:t>
      </w:r>
      <w:bookmarkEnd w:id="33"/>
      <w:bookmarkEnd w:id="34"/>
      <w:bookmarkEnd w:id="35"/>
    </w:p>
    <w:p w:rsidR="00CB173E" w:rsidRPr="005B6070" w:rsidRDefault="00CB173E" w:rsidP="00CB173E">
      <w:r w:rsidRPr="005B6070">
        <w:t xml:space="preserve">There are five types of users interacting with modules of WAMOS (see </w:t>
      </w:r>
      <w:r w:rsidRPr="005B6070">
        <w:fldChar w:fldCharType="begin"/>
      </w:r>
      <w:r w:rsidRPr="005B6070">
        <w:instrText xml:space="preserve"> REF _Ref486420394 \h </w:instrText>
      </w:r>
      <w:r w:rsidRPr="005B6070">
        <w:fldChar w:fldCharType="separate"/>
      </w:r>
      <w:r w:rsidRPr="005B6070">
        <w:t xml:space="preserve">Table </w:t>
      </w:r>
      <w:r>
        <w:rPr>
          <w:noProof/>
        </w:rPr>
        <w:t>3</w:t>
      </w:r>
      <w:r w:rsidRPr="005B6070">
        <w:t>: Actors</w:t>
      </w:r>
      <w:r w:rsidRPr="005B6070">
        <w:fldChar w:fldCharType="end"/>
      </w:r>
      <w:r w:rsidRPr="005B6070">
        <w:t>). The first three are humans; the latter two are external systems. Users working with WAMOS shall be authenticated and authorized by the Authentication and Authorization Service, in order to constrain access to the information based on the role and privileges of the authenticated user:</w:t>
      </w:r>
    </w:p>
    <w:p w:rsidR="00CB173E" w:rsidRPr="005B6070" w:rsidRDefault="00CB173E" w:rsidP="00CB173E">
      <w:pPr>
        <w:pStyle w:val="Beschriftung"/>
      </w:pPr>
      <w:bookmarkStart w:id="36" w:name="_Ref486420394"/>
      <w:bookmarkStart w:id="37" w:name="_Toc487044318"/>
      <w:bookmarkStart w:id="38" w:name="_Toc494362591"/>
      <w:r w:rsidRPr="005B6070">
        <w:t xml:space="preserve">Table </w:t>
      </w:r>
      <w:r w:rsidRPr="005B6070">
        <w:fldChar w:fldCharType="begin"/>
      </w:r>
      <w:r w:rsidRPr="005B6070">
        <w:instrText xml:space="preserve"> SEQ Table \* ARABIC </w:instrText>
      </w:r>
      <w:r w:rsidRPr="005B6070">
        <w:fldChar w:fldCharType="separate"/>
      </w:r>
      <w:r>
        <w:rPr>
          <w:noProof/>
        </w:rPr>
        <w:t>3</w:t>
      </w:r>
      <w:r w:rsidRPr="005B6070">
        <w:rPr>
          <w:noProof/>
        </w:rPr>
        <w:fldChar w:fldCharType="end"/>
      </w:r>
      <w:r w:rsidRPr="005B6070">
        <w:t>: Actors</w:t>
      </w:r>
      <w:bookmarkEnd w:id="36"/>
      <w:bookmarkEnd w:id="37"/>
      <w:bookmarkEnd w:id="38"/>
    </w:p>
    <w:tbl>
      <w:tblPr>
        <w:tblStyle w:val="Table"/>
        <w:tblW w:w="0" w:type="auto"/>
        <w:tblLook w:val="04A0" w:firstRow="1" w:lastRow="0" w:firstColumn="1" w:lastColumn="0" w:noHBand="0" w:noVBand="1"/>
      </w:tblPr>
      <w:tblGrid>
        <w:gridCol w:w="2279"/>
        <w:gridCol w:w="6790"/>
      </w:tblGrid>
      <w:tr w:rsidR="00CB173E" w:rsidRPr="005B6070" w:rsidTr="00CC7B96">
        <w:trPr>
          <w:cnfStyle w:val="100000000000" w:firstRow="1" w:lastRow="0" w:firstColumn="0" w:lastColumn="0" w:oddVBand="0" w:evenVBand="0" w:oddHBand="0" w:evenHBand="0" w:firstRowFirstColumn="0" w:firstRowLastColumn="0" w:lastRowFirstColumn="0" w:lastRowLastColumn="0"/>
        </w:trPr>
        <w:tc>
          <w:tcPr>
            <w:tcW w:w="2279" w:type="dxa"/>
          </w:tcPr>
          <w:p w:rsidR="00CB173E" w:rsidRPr="005B6070" w:rsidRDefault="00CB173E" w:rsidP="00CC7B96">
            <w:r w:rsidRPr="005B6070">
              <w:t>Actor</w:t>
            </w:r>
          </w:p>
        </w:tc>
        <w:tc>
          <w:tcPr>
            <w:tcW w:w="6790" w:type="dxa"/>
          </w:tcPr>
          <w:p w:rsidR="00CB173E" w:rsidRPr="005B6070" w:rsidRDefault="00CB173E" w:rsidP="00CC7B96">
            <w:r w:rsidRPr="005B6070">
              <w:t>Description</w:t>
            </w:r>
          </w:p>
        </w:tc>
      </w:tr>
      <w:tr w:rsidR="00CB173E" w:rsidRPr="005B6070" w:rsidTr="00CC7B96">
        <w:trPr>
          <w:trHeight w:val="1949"/>
        </w:trPr>
        <w:tc>
          <w:tcPr>
            <w:tcW w:w="2279" w:type="dxa"/>
            <w:vAlign w:val="center"/>
          </w:tcPr>
          <w:p w:rsidR="00CB173E" w:rsidRPr="005B6070" w:rsidRDefault="00CB173E" w:rsidP="00CC7B96">
            <w:pPr>
              <w:jc w:val="center"/>
              <w:rPr>
                <w:sz w:val="24"/>
              </w:rPr>
            </w:pPr>
            <w:r w:rsidRPr="005B6070">
              <w:t xml:space="preserve"> </w:t>
            </w:r>
            <w:r w:rsidRPr="005B6070">
              <w:object w:dxaOrig="6015" w:dyaOrig="63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9.5pt;height:85pt" o:ole="">
                  <v:imagedata r:id="rId9" o:title="" cropbottom="3860f"/>
                </v:shape>
                <o:OLEObject Type="Embed" ProgID="PBrush" ShapeID="_x0000_i1025" DrawAspect="Content" ObjectID="_1568472457" r:id="rId10"/>
              </w:object>
            </w:r>
            <w:r w:rsidRPr="005B6070">
              <w:t xml:space="preserve">   </w:t>
            </w:r>
          </w:p>
        </w:tc>
        <w:tc>
          <w:tcPr>
            <w:tcW w:w="6790" w:type="dxa"/>
            <w:vAlign w:val="center"/>
          </w:tcPr>
          <w:p w:rsidR="00CB173E" w:rsidRPr="005B6070" w:rsidRDefault="00CB173E" w:rsidP="00CC7B96">
            <w:pPr>
              <w:ind w:right="113"/>
            </w:pPr>
            <w:r w:rsidRPr="005B6070">
              <w:t>The WAMOS Waterway User is the primary target group of WAMOS. The system shall support this user in aligning national fairway improvement strategies and shall ease the reporting of needs to national and international decision makers.</w:t>
            </w:r>
          </w:p>
          <w:p w:rsidR="00CB173E" w:rsidRPr="005B6070" w:rsidRDefault="00CB173E" w:rsidP="00CC7B96">
            <w:pPr>
              <w:ind w:right="113"/>
            </w:pPr>
            <w:r w:rsidRPr="005B6070">
              <w:t xml:space="preserve">Each WAMOS Waterway User from each country has read access to all user functions, maps, data and documents (see </w:t>
            </w:r>
            <w:r w:rsidRPr="005B6070">
              <w:fldChar w:fldCharType="begin"/>
            </w:r>
            <w:r w:rsidRPr="005B6070">
              <w:instrText xml:space="preserve"> REF _Ref486852724 \h </w:instrText>
            </w:r>
            <w:r w:rsidRPr="005B6070">
              <w:fldChar w:fldCharType="separate"/>
            </w:r>
            <w:r w:rsidRPr="005B6070">
              <w:t xml:space="preserve">Table </w:t>
            </w:r>
            <w:r>
              <w:rPr>
                <w:noProof/>
              </w:rPr>
              <w:t>4</w:t>
            </w:r>
            <w:r w:rsidRPr="005B6070">
              <w:t>: Use Case assignment to the actors</w:t>
            </w:r>
            <w:r w:rsidRPr="005B6070">
              <w:fldChar w:fldCharType="end"/>
            </w:r>
            <w:r w:rsidRPr="005B6070">
              <w:t>). Because there is no separation according to customer-specific information needed, a multi-tenant capability is not needed.</w:t>
            </w:r>
          </w:p>
          <w:p w:rsidR="00CB173E" w:rsidRPr="005B6070" w:rsidRDefault="00CB173E" w:rsidP="00CC7B96">
            <w:pPr>
              <w:ind w:right="113"/>
            </w:pPr>
            <w:r w:rsidRPr="005B6070">
              <w:t>The only exception from this concept are the statistic templates or report templates. These are configured by the WAMOS System Administrator on user-level.</w:t>
            </w:r>
            <w:r w:rsidRPr="005B6070" w:rsidDel="00A65DB1">
              <w:t xml:space="preserve"> </w:t>
            </w:r>
          </w:p>
        </w:tc>
      </w:tr>
      <w:tr w:rsidR="00CB173E" w:rsidRPr="005B6070" w:rsidTr="00CC7B96">
        <w:trPr>
          <w:trHeight w:val="1949"/>
        </w:trPr>
        <w:tc>
          <w:tcPr>
            <w:tcW w:w="2279" w:type="dxa"/>
            <w:vAlign w:val="center"/>
          </w:tcPr>
          <w:p w:rsidR="00CB173E" w:rsidRPr="005B6070" w:rsidRDefault="00CB173E" w:rsidP="00CC7B96">
            <w:pPr>
              <w:jc w:val="center"/>
            </w:pPr>
            <w:r w:rsidRPr="005B6070">
              <w:object w:dxaOrig="5655" w:dyaOrig="5355">
                <v:shape id="_x0000_i1026" type="#_x0000_t75" style="width:91pt;height:82pt" o:ole="">
                  <v:imagedata r:id="rId11" o:title=""/>
                </v:shape>
                <o:OLEObject Type="Embed" ProgID="PBrush" ShapeID="_x0000_i1026" DrawAspect="Content" ObjectID="_1568472458" r:id="rId12"/>
              </w:object>
            </w:r>
          </w:p>
        </w:tc>
        <w:tc>
          <w:tcPr>
            <w:tcW w:w="6790" w:type="dxa"/>
            <w:vAlign w:val="center"/>
          </w:tcPr>
          <w:p w:rsidR="00CB173E" w:rsidRPr="005B6070" w:rsidRDefault="00CB173E" w:rsidP="00CC7B96">
            <w:pPr>
              <w:ind w:right="113"/>
            </w:pPr>
            <w:r w:rsidRPr="005B6070">
              <w:t>The WAMOS Waterway Administrator is a kind of super-user which has the same permissions as the WAMOS Waterway User. In addition, the administrator can also import data [APUC5] and follow the import process in a statutory page [APUC7]. These activities are restricted to his area of activity (=country), which ensures that only one person is responsible for the data import. In order to prevent false data import, the data entries are filtered by geographic regions. For example, importing data and monitoring the import process is only allowed for the country referenced to the WAMOS Waterway Administrator.</w:t>
            </w:r>
          </w:p>
          <w:p w:rsidR="00CB173E" w:rsidRPr="005B6070" w:rsidRDefault="00CB173E" w:rsidP="00CC7B96">
            <w:pPr>
              <w:ind w:right="113"/>
            </w:pPr>
            <w:r w:rsidRPr="005B6070">
              <w:t xml:space="preserve">The responsibilities at the border sections must be allocated organizationally. For this reason, the spatial extent of the area of authority does not correspond exactly to the country's </w:t>
            </w:r>
            <w:proofErr w:type="gramStart"/>
            <w:r w:rsidRPr="005B6070">
              <w:t>borders,</w:t>
            </w:r>
            <w:proofErr w:type="gramEnd"/>
            <w:r w:rsidRPr="005B6070">
              <w:t xml:space="preserve"> it extends a certain distance into the respective </w:t>
            </w:r>
            <w:proofErr w:type="spellStart"/>
            <w:r w:rsidRPr="005B6070">
              <w:t>neighboring</w:t>
            </w:r>
            <w:proofErr w:type="spellEnd"/>
            <w:r w:rsidRPr="005B6070">
              <w:t xml:space="preserve"> country.</w:t>
            </w:r>
          </w:p>
          <w:p w:rsidR="00CB173E" w:rsidRPr="005B6070" w:rsidRDefault="00CB173E" w:rsidP="00CC7B96">
            <w:pPr>
              <w:ind w:right="113"/>
            </w:pPr>
            <w:r w:rsidRPr="005B6070">
              <w:t xml:space="preserve">Per default each country is setup with one WAMOS Waterway Administrator account. </w:t>
            </w:r>
          </w:p>
        </w:tc>
      </w:tr>
      <w:tr w:rsidR="00CB173E" w:rsidRPr="005B6070" w:rsidTr="00CC7B96">
        <w:trPr>
          <w:trHeight w:val="4189"/>
        </w:trPr>
        <w:tc>
          <w:tcPr>
            <w:tcW w:w="2279" w:type="dxa"/>
            <w:vAlign w:val="center"/>
          </w:tcPr>
          <w:p w:rsidR="00CB173E" w:rsidRPr="005B6070" w:rsidRDefault="00CB173E" w:rsidP="00CC7B96">
            <w:pPr>
              <w:jc w:val="center"/>
              <w:rPr>
                <w:sz w:val="24"/>
              </w:rPr>
            </w:pPr>
            <w:r w:rsidRPr="005B6070">
              <w:t xml:space="preserve">    </w:t>
            </w:r>
            <w:r w:rsidRPr="005B6070">
              <w:object w:dxaOrig="5535" w:dyaOrig="5445">
                <v:shape id="_x0000_i1027" type="#_x0000_t75" style="width:86.5pt;height:86.5pt" o:ole="">
                  <v:imagedata r:id="rId13" o:title=""/>
                </v:shape>
                <o:OLEObject Type="Embed" ProgID="PBrush" ShapeID="_x0000_i1027" DrawAspect="Content" ObjectID="_1568472459" r:id="rId14"/>
              </w:object>
            </w:r>
          </w:p>
        </w:tc>
        <w:tc>
          <w:tcPr>
            <w:tcW w:w="6790" w:type="dxa"/>
            <w:vAlign w:val="center"/>
          </w:tcPr>
          <w:p w:rsidR="00CB173E" w:rsidRPr="005B6070" w:rsidRDefault="00CB173E" w:rsidP="00CC7B96">
            <w:pPr>
              <w:ind w:right="113"/>
            </w:pPr>
            <w:r w:rsidRPr="005B6070">
              <w:t xml:space="preserve">The WAMOS System Administrator is responsible for all administrative functional aspects of the system. The administrator creates users, assigns privileges to user roles, is - like the WAMOS Waterway Administrator - responsible for importing and publishing the data via the data interface and generates and publishes document templates. Typically, the WAMOS System Administrator coordinates the first and second level system support activities. </w:t>
            </w:r>
          </w:p>
          <w:p w:rsidR="00CB173E" w:rsidRPr="005B6070" w:rsidRDefault="00CB173E" w:rsidP="00CC7B96">
            <w:pPr>
              <w:ind w:right="113"/>
              <w:rPr>
                <w:sz w:val="24"/>
              </w:rPr>
            </w:pPr>
            <w:r w:rsidRPr="005B6070">
              <w:t xml:space="preserve">This WAMOS System Administrator is authorized to create other Waterway Users or Waterway Administrators and to assign user rights (see chapter </w:t>
            </w:r>
            <w:r w:rsidRPr="005B6070">
              <w:fldChar w:fldCharType="begin"/>
            </w:r>
            <w:r w:rsidRPr="005B6070">
              <w:instrText xml:space="preserve"> REF _Ref481574035 \r \h </w:instrText>
            </w:r>
            <w:r w:rsidRPr="005B6070">
              <w:fldChar w:fldCharType="separate"/>
            </w:r>
            <w:r>
              <w:t>3.1.1</w:t>
            </w:r>
            <w:r w:rsidRPr="005B6070">
              <w:fldChar w:fldCharType="end"/>
            </w:r>
            <w:r w:rsidRPr="005B6070">
              <w:t xml:space="preserve">). </w:t>
            </w:r>
          </w:p>
        </w:tc>
      </w:tr>
      <w:tr w:rsidR="00CB173E" w:rsidRPr="005B6070" w:rsidTr="00CC7B96">
        <w:tc>
          <w:tcPr>
            <w:tcW w:w="2279" w:type="dxa"/>
            <w:vAlign w:val="center"/>
          </w:tcPr>
          <w:p w:rsidR="00CB173E" w:rsidRPr="005B6070" w:rsidRDefault="00CB173E" w:rsidP="00CC7B96">
            <w:pPr>
              <w:jc w:val="center"/>
              <w:rPr>
                <w:sz w:val="24"/>
              </w:rPr>
            </w:pPr>
            <w:r w:rsidRPr="005B6070">
              <w:t xml:space="preserve">    </w:t>
            </w:r>
            <w:r w:rsidRPr="005B6070">
              <w:object w:dxaOrig="4005" w:dyaOrig="4665">
                <v:shape id="_x0000_i1028" type="#_x0000_t75" style="width:70pt;height:79pt" o:ole="">
                  <v:imagedata r:id="rId15" o:title=""/>
                </v:shape>
                <o:OLEObject Type="Embed" ProgID="PBrush" ShapeID="_x0000_i1028" DrawAspect="Content" ObjectID="_1568472460" r:id="rId16"/>
              </w:object>
            </w:r>
          </w:p>
        </w:tc>
        <w:tc>
          <w:tcPr>
            <w:tcW w:w="6790" w:type="dxa"/>
            <w:vAlign w:val="center"/>
          </w:tcPr>
          <w:p w:rsidR="00CB173E" w:rsidRPr="005B6070" w:rsidRDefault="00CB173E" w:rsidP="00CC7B96">
            <w:pPr>
              <w:ind w:right="113"/>
              <w:rPr>
                <w:sz w:val="24"/>
              </w:rPr>
            </w:pPr>
            <w:r w:rsidRPr="005B6070">
              <w:t>The FIS portal is an existing web-portal to provide online transnational, fairway-related information from all Danube countries. WAMOS must publish relevant data to this portal.</w:t>
            </w:r>
          </w:p>
        </w:tc>
      </w:tr>
      <w:tr w:rsidR="00CB173E" w:rsidRPr="005B6070" w:rsidTr="00CC7B96">
        <w:tc>
          <w:tcPr>
            <w:tcW w:w="2279" w:type="dxa"/>
            <w:vAlign w:val="center"/>
          </w:tcPr>
          <w:p w:rsidR="00CB173E" w:rsidRPr="005B6070" w:rsidRDefault="00CB173E" w:rsidP="00CC7B96">
            <w:pPr>
              <w:jc w:val="center"/>
              <w:rPr>
                <w:sz w:val="24"/>
              </w:rPr>
            </w:pPr>
            <w:r w:rsidRPr="005B6070">
              <w:t xml:space="preserve">    </w:t>
            </w:r>
            <w:r w:rsidRPr="005B6070">
              <w:object w:dxaOrig="3900" w:dyaOrig="4590">
                <v:shape id="_x0000_i1029" type="#_x0000_t75" style="width:66pt;height:76.5pt" o:ole="">
                  <v:imagedata r:id="rId17" o:title=""/>
                </v:shape>
                <o:OLEObject Type="Embed" ProgID="PBrush" ShapeID="_x0000_i1029" DrawAspect="Content" ObjectID="_1568472461" r:id="rId18"/>
              </w:object>
            </w:r>
          </w:p>
        </w:tc>
        <w:tc>
          <w:tcPr>
            <w:tcW w:w="6790" w:type="dxa"/>
            <w:vAlign w:val="center"/>
          </w:tcPr>
          <w:p w:rsidR="00CB173E" w:rsidRPr="005B6070" w:rsidRDefault="00CB173E" w:rsidP="00CC7B96">
            <w:pPr>
              <w:ind w:right="113"/>
              <w:rPr>
                <w:sz w:val="24"/>
              </w:rPr>
            </w:pPr>
            <w:r w:rsidRPr="005B6070">
              <w:t>The RIS COMEX services provide relevant information for fairway users in order to increase efficiency of inland navigation. Therefore the services of RIS COMEX need up-to-date data from WAMOS.</w:t>
            </w:r>
          </w:p>
        </w:tc>
      </w:tr>
    </w:tbl>
    <w:p w:rsidR="00CB173E" w:rsidRPr="005B6070" w:rsidRDefault="00CB173E" w:rsidP="00CB173E">
      <w:pPr>
        <w:pStyle w:val="berschrift2"/>
        <w:numPr>
          <w:ilvl w:val="1"/>
          <w:numId w:val="1"/>
        </w:numPr>
        <w:spacing w:before="540" w:after="180" w:line="288" w:lineRule="auto"/>
        <w:ind w:left="576" w:hanging="576"/>
        <w:jc w:val="left"/>
      </w:pPr>
      <w:bookmarkStart w:id="39" w:name="_Toc483776634"/>
      <w:bookmarkStart w:id="40" w:name="_Toc483867770"/>
      <w:bookmarkStart w:id="41" w:name="_Ref477794848"/>
      <w:bookmarkStart w:id="42" w:name="_Ref477794859"/>
      <w:bookmarkStart w:id="43" w:name="_Toc478375709"/>
      <w:bookmarkStart w:id="44" w:name="_Toc487044191"/>
      <w:bookmarkStart w:id="45" w:name="_Toc494362465"/>
      <w:bookmarkEnd w:id="39"/>
      <w:bookmarkEnd w:id="40"/>
      <w:r w:rsidRPr="005B6070">
        <w:t>Product Functions</w:t>
      </w:r>
      <w:bookmarkEnd w:id="41"/>
      <w:bookmarkEnd w:id="42"/>
      <w:bookmarkEnd w:id="43"/>
      <w:bookmarkEnd w:id="44"/>
      <w:bookmarkEnd w:id="45"/>
    </w:p>
    <w:p w:rsidR="00CB173E" w:rsidRPr="005B6070" w:rsidRDefault="00CB173E" w:rsidP="00CB173E">
      <w:r w:rsidRPr="005B6070">
        <w:t xml:space="preserve">The product functions of WAMOS can be divided into primary use cases, which are started directly from the user and secondary use cases </w:t>
      </w:r>
      <w:r w:rsidRPr="005B6070">
        <w:rPr>
          <w:rStyle w:val="shorttext"/>
        </w:rPr>
        <w:t>which are called indirectly by a primary use case.</w:t>
      </w:r>
      <w:r w:rsidRPr="005B6070">
        <w:t xml:space="preserve"> In order to ensure a clearer overview, the primary use cases were categorized in three categories – administrative, general and special. </w:t>
      </w:r>
    </w:p>
    <w:p w:rsidR="00CB173E" w:rsidRPr="005B6070" w:rsidRDefault="00CB173E" w:rsidP="00CB173E">
      <w:r w:rsidRPr="005B6070">
        <w:t xml:space="preserve">The initial assignment of the use cases to the user roles is shown in </w:t>
      </w:r>
      <w:r w:rsidRPr="005B6070">
        <w:fldChar w:fldCharType="begin"/>
      </w:r>
      <w:r w:rsidRPr="005B6070">
        <w:instrText xml:space="preserve"> REF _Ref489975861 \h </w:instrText>
      </w:r>
      <w:r w:rsidRPr="005B6070">
        <w:fldChar w:fldCharType="separate"/>
      </w:r>
      <w:r w:rsidRPr="005B6070">
        <w:t xml:space="preserve">Table </w:t>
      </w:r>
      <w:r>
        <w:rPr>
          <w:noProof/>
        </w:rPr>
        <w:t>4</w:t>
      </w:r>
      <w:r w:rsidRPr="005B6070">
        <w:fldChar w:fldCharType="end"/>
      </w:r>
      <w:proofErr w:type="gramStart"/>
      <w:r w:rsidRPr="005B6070">
        <w:t>,</w:t>
      </w:r>
      <w:proofErr w:type="gramEnd"/>
      <w:r w:rsidRPr="005B6070">
        <w:t xml:space="preserve"> the assignment shall be able to be changed by the WAMOS System administrator.</w:t>
      </w:r>
    </w:p>
    <w:p w:rsidR="00CB173E" w:rsidRPr="005B6070" w:rsidRDefault="00CB173E" w:rsidP="00CB173E"/>
    <w:p w:rsidR="00CB173E" w:rsidRPr="005B6070" w:rsidRDefault="00CB173E" w:rsidP="00CB173E">
      <w:pPr>
        <w:pStyle w:val="Beschriftung"/>
      </w:pPr>
      <w:bookmarkStart w:id="46" w:name="_Ref489975861"/>
      <w:bookmarkStart w:id="47" w:name="_Ref486852724"/>
      <w:bookmarkStart w:id="48" w:name="_Toc487044319"/>
      <w:bookmarkStart w:id="49" w:name="_Toc494362592"/>
      <w:r w:rsidRPr="005B6070">
        <w:t xml:space="preserve">Table </w:t>
      </w:r>
      <w:r w:rsidRPr="005B6070">
        <w:fldChar w:fldCharType="begin"/>
      </w:r>
      <w:r w:rsidRPr="005B6070">
        <w:instrText xml:space="preserve"> SEQ Table \* ARABIC </w:instrText>
      </w:r>
      <w:r w:rsidRPr="005B6070">
        <w:fldChar w:fldCharType="separate"/>
      </w:r>
      <w:r>
        <w:rPr>
          <w:noProof/>
        </w:rPr>
        <w:t>4</w:t>
      </w:r>
      <w:r w:rsidRPr="005B6070">
        <w:fldChar w:fldCharType="end"/>
      </w:r>
      <w:bookmarkEnd w:id="46"/>
      <w:r w:rsidRPr="005B6070">
        <w:t>: Use Case assignment to the actors</w:t>
      </w:r>
      <w:bookmarkEnd w:id="47"/>
      <w:bookmarkEnd w:id="48"/>
      <w:bookmarkEnd w:id="49"/>
    </w:p>
    <w:tbl>
      <w:tblPr>
        <w:tblW w:w="8980" w:type="dxa"/>
        <w:tblInd w:w="100" w:type="dxa"/>
        <w:tblLook w:val="04A0" w:firstRow="1" w:lastRow="0" w:firstColumn="1" w:lastColumn="0" w:noHBand="0" w:noVBand="1"/>
      </w:tblPr>
      <w:tblGrid>
        <w:gridCol w:w="2924"/>
        <w:gridCol w:w="1534"/>
        <w:gridCol w:w="1534"/>
        <w:gridCol w:w="1160"/>
        <w:gridCol w:w="898"/>
        <w:gridCol w:w="930"/>
      </w:tblGrid>
      <w:tr w:rsidR="00CB173E" w:rsidRPr="005B6070" w:rsidTr="00CC7B96">
        <w:trPr>
          <w:trHeight w:val="765"/>
        </w:trPr>
        <w:tc>
          <w:tcPr>
            <w:tcW w:w="2924" w:type="dxa"/>
            <w:tcBorders>
              <w:top w:val="single" w:sz="4" w:space="0" w:color="595959"/>
              <w:left w:val="single" w:sz="4" w:space="0" w:color="595959"/>
              <w:bottom w:val="single" w:sz="4" w:space="0" w:color="595959"/>
              <w:right w:val="single" w:sz="4" w:space="0" w:color="595959"/>
            </w:tcBorders>
            <w:shd w:val="clear" w:color="000000" w:fill="98C6EE"/>
            <w:hideMark/>
          </w:tcPr>
          <w:p w:rsidR="00CB173E" w:rsidRPr="005B6070" w:rsidRDefault="00CB173E" w:rsidP="00CC7B96">
            <w:pPr>
              <w:spacing w:after="0"/>
              <w:jc w:val="left"/>
              <w:rPr>
                <w:b/>
                <w:bCs/>
                <w:color w:val="1D70B7"/>
                <w:szCs w:val="20"/>
                <w:lang w:eastAsia="en-GB"/>
              </w:rPr>
            </w:pPr>
            <w:proofErr w:type="spellStart"/>
            <w:r w:rsidRPr="005B6070">
              <w:rPr>
                <w:b/>
                <w:bCs/>
                <w:color w:val="1D70B7"/>
                <w:szCs w:val="20"/>
                <w:lang w:eastAsia="en-GB"/>
              </w:rPr>
              <w:t>UseCase</w:t>
            </w:r>
            <w:proofErr w:type="spellEnd"/>
          </w:p>
        </w:tc>
        <w:tc>
          <w:tcPr>
            <w:tcW w:w="1534" w:type="dxa"/>
            <w:tcBorders>
              <w:top w:val="single" w:sz="4" w:space="0" w:color="595959"/>
              <w:left w:val="nil"/>
              <w:bottom w:val="single" w:sz="4" w:space="0" w:color="595959"/>
              <w:right w:val="single" w:sz="4" w:space="0" w:color="595959"/>
            </w:tcBorders>
            <w:shd w:val="clear" w:color="000000" w:fill="98C6EE"/>
            <w:hideMark/>
          </w:tcPr>
          <w:p w:rsidR="00CB173E" w:rsidRPr="005B6070" w:rsidRDefault="00CB173E" w:rsidP="00CC7B96">
            <w:pPr>
              <w:spacing w:after="0"/>
              <w:jc w:val="left"/>
              <w:rPr>
                <w:b/>
                <w:bCs/>
                <w:color w:val="1D70B7"/>
                <w:szCs w:val="20"/>
                <w:lang w:eastAsia="en-GB"/>
              </w:rPr>
            </w:pPr>
            <w:r w:rsidRPr="005B6070">
              <w:rPr>
                <w:b/>
                <w:bCs/>
                <w:color w:val="1D70B7"/>
                <w:szCs w:val="20"/>
                <w:lang w:eastAsia="en-GB"/>
              </w:rPr>
              <w:t xml:space="preserve">WAMOS </w:t>
            </w:r>
            <w:r w:rsidRPr="005B6070">
              <w:rPr>
                <w:b/>
                <w:bCs/>
                <w:color w:val="1D70B7"/>
                <w:szCs w:val="20"/>
                <w:lang w:eastAsia="en-GB"/>
              </w:rPr>
              <w:br/>
              <w:t xml:space="preserve">System </w:t>
            </w:r>
            <w:r w:rsidRPr="005B6070">
              <w:rPr>
                <w:b/>
                <w:bCs/>
                <w:color w:val="1D70B7"/>
                <w:szCs w:val="20"/>
                <w:lang w:eastAsia="en-GB"/>
              </w:rPr>
              <w:br/>
              <w:t>Administrator</w:t>
            </w:r>
          </w:p>
        </w:tc>
        <w:tc>
          <w:tcPr>
            <w:tcW w:w="1534" w:type="dxa"/>
            <w:tcBorders>
              <w:top w:val="single" w:sz="4" w:space="0" w:color="595959"/>
              <w:left w:val="nil"/>
              <w:bottom w:val="single" w:sz="4" w:space="0" w:color="595959"/>
              <w:right w:val="single" w:sz="4" w:space="0" w:color="595959"/>
            </w:tcBorders>
            <w:shd w:val="clear" w:color="000000" w:fill="98C6EE"/>
            <w:hideMark/>
          </w:tcPr>
          <w:p w:rsidR="00CB173E" w:rsidRPr="005B6070" w:rsidRDefault="00CB173E" w:rsidP="00CC7B96">
            <w:pPr>
              <w:spacing w:after="0"/>
              <w:jc w:val="left"/>
              <w:rPr>
                <w:b/>
                <w:bCs/>
                <w:color w:val="1D70B7"/>
                <w:szCs w:val="20"/>
                <w:lang w:eastAsia="en-GB"/>
              </w:rPr>
            </w:pPr>
            <w:r w:rsidRPr="005B6070">
              <w:rPr>
                <w:b/>
                <w:bCs/>
                <w:color w:val="1D70B7"/>
                <w:szCs w:val="20"/>
                <w:lang w:eastAsia="en-GB"/>
              </w:rPr>
              <w:t xml:space="preserve">WAMOS </w:t>
            </w:r>
            <w:r w:rsidRPr="005B6070">
              <w:rPr>
                <w:b/>
                <w:bCs/>
                <w:color w:val="1D70B7"/>
                <w:szCs w:val="20"/>
                <w:lang w:eastAsia="en-GB"/>
              </w:rPr>
              <w:br/>
              <w:t xml:space="preserve">Waterway </w:t>
            </w:r>
            <w:r w:rsidRPr="005B6070">
              <w:rPr>
                <w:b/>
                <w:bCs/>
                <w:color w:val="1D70B7"/>
                <w:szCs w:val="20"/>
                <w:lang w:eastAsia="en-GB"/>
              </w:rPr>
              <w:br/>
              <w:t>Administrator</w:t>
            </w:r>
          </w:p>
        </w:tc>
        <w:tc>
          <w:tcPr>
            <w:tcW w:w="1160" w:type="dxa"/>
            <w:tcBorders>
              <w:top w:val="single" w:sz="4" w:space="0" w:color="595959"/>
              <w:left w:val="nil"/>
              <w:bottom w:val="single" w:sz="4" w:space="0" w:color="595959"/>
              <w:right w:val="single" w:sz="4" w:space="0" w:color="595959"/>
            </w:tcBorders>
            <w:shd w:val="clear" w:color="000000" w:fill="98C6EE"/>
            <w:hideMark/>
          </w:tcPr>
          <w:p w:rsidR="00CB173E" w:rsidRPr="005B6070" w:rsidRDefault="00CB173E" w:rsidP="00CC7B96">
            <w:pPr>
              <w:spacing w:after="0"/>
              <w:jc w:val="left"/>
              <w:rPr>
                <w:b/>
                <w:bCs/>
                <w:color w:val="1D70B7"/>
                <w:szCs w:val="20"/>
                <w:lang w:eastAsia="en-GB"/>
              </w:rPr>
            </w:pPr>
            <w:r w:rsidRPr="005B6070">
              <w:rPr>
                <w:b/>
                <w:bCs/>
                <w:color w:val="1D70B7"/>
                <w:szCs w:val="20"/>
                <w:lang w:eastAsia="en-GB"/>
              </w:rPr>
              <w:t xml:space="preserve">WAMOS </w:t>
            </w:r>
            <w:r w:rsidRPr="005B6070">
              <w:rPr>
                <w:b/>
                <w:bCs/>
                <w:color w:val="1D70B7"/>
                <w:szCs w:val="20"/>
                <w:lang w:eastAsia="en-GB"/>
              </w:rPr>
              <w:br/>
              <w:t xml:space="preserve">Waterway </w:t>
            </w:r>
            <w:r w:rsidRPr="005B6070">
              <w:rPr>
                <w:b/>
                <w:bCs/>
                <w:color w:val="1D70B7"/>
                <w:szCs w:val="20"/>
                <w:lang w:eastAsia="en-GB"/>
              </w:rPr>
              <w:br/>
              <w:t xml:space="preserve">User </w:t>
            </w:r>
          </w:p>
        </w:tc>
        <w:tc>
          <w:tcPr>
            <w:tcW w:w="898" w:type="dxa"/>
            <w:tcBorders>
              <w:top w:val="single" w:sz="4" w:space="0" w:color="595959"/>
              <w:left w:val="nil"/>
              <w:bottom w:val="single" w:sz="4" w:space="0" w:color="595959"/>
              <w:right w:val="single" w:sz="4" w:space="0" w:color="595959"/>
            </w:tcBorders>
            <w:shd w:val="clear" w:color="000000" w:fill="98C6EE"/>
            <w:hideMark/>
          </w:tcPr>
          <w:p w:rsidR="00CB173E" w:rsidRPr="005B6070" w:rsidRDefault="00CB173E" w:rsidP="00CC7B96">
            <w:pPr>
              <w:spacing w:after="0"/>
              <w:jc w:val="left"/>
              <w:rPr>
                <w:b/>
                <w:bCs/>
                <w:color w:val="1D70B7"/>
                <w:szCs w:val="20"/>
                <w:lang w:eastAsia="en-GB"/>
              </w:rPr>
            </w:pPr>
            <w:r w:rsidRPr="005B6070">
              <w:rPr>
                <w:b/>
                <w:bCs/>
                <w:color w:val="1D70B7"/>
                <w:szCs w:val="20"/>
                <w:lang w:eastAsia="en-GB"/>
              </w:rPr>
              <w:t xml:space="preserve">FIS-Portal </w:t>
            </w:r>
          </w:p>
        </w:tc>
        <w:tc>
          <w:tcPr>
            <w:tcW w:w="930" w:type="dxa"/>
            <w:tcBorders>
              <w:top w:val="single" w:sz="4" w:space="0" w:color="595959"/>
              <w:left w:val="nil"/>
              <w:bottom w:val="single" w:sz="4" w:space="0" w:color="595959"/>
              <w:right w:val="single" w:sz="4" w:space="0" w:color="595959"/>
            </w:tcBorders>
            <w:shd w:val="clear" w:color="000000" w:fill="98C6EE"/>
            <w:hideMark/>
          </w:tcPr>
          <w:p w:rsidR="00CB173E" w:rsidRPr="005B6070" w:rsidRDefault="00CB173E" w:rsidP="00CC7B96">
            <w:pPr>
              <w:spacing w:after="0"/>
              <w:jc w:val="left"/>
              <w:rPr>
                <w:b/>
                <w:bCs/>
                <w:color w:val="1D70B7"/>
                <w:szCs w:val="20"/>
                <w:lang w:eastAsia="en-GB"/>
              </w:rPr>
            </w:pPr>
            <w:r w:rsidRPr="005B6070">
              <w:rPr>
                <w:b/>
                <w:bCs/>
                <w:color w:val="1D70B7"/>
                <w:szCs w:val="20"/>
                <w:lang w:eastAsia="en-GB"/>
              </w:rPr>
              <w:t xml:space="preserve">RIS COMEX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Administration Login [APUC1]</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Administration Logout [APUC2]</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Manage Users [APUC3]</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Manage Roles and Privileges [APUC4]</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Import Data [APUC5]</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42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Manage Templates for Printing, Statistics and Reports [APUC6]</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 </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42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Interface and Process Status [APUC7]</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System Logs [APUC8]</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System Notification [APUC9]</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Manage System Configuration [APUC10]</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Login [GPUC1]</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Logout [GPUC2]</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Reset Password [GPUC3]</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Choose Language [GPUC4]</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Overview of Base Data [GPUC5]</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Navigate in Map [GPUC6]</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Print Map Content [GPUC7]</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Identify Tool [GPUC8]</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Measure on Map [GPUC9]</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Search Features [GPUC10]</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Manipulate Map Content [GPUC11]</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Identify Map Content [GPUC12]</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Download User Manual [GPUC13]</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Riverbed Morphology [SPUC1]</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Riverbed Changes [SPUC2]</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Fairway Dimensions [SPUC3]</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Available Fairway Depths [SPUC4]</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42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Available Fairway Depths vs. LNWL [SPUC5]</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Timeline Availability/Measures [SPUC6]</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Water Level [SPUC7]</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Hydrological Conditions [SPUC8]</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42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Rehabilitation &amp; Maintenance Measures [SPUC9]</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Evaluate Rehabilitation &amp; Maintenance Measures [SPUC10]</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Display current and historic Fairway Marks [SPUC11]</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Availability/Accuracy of Data [SPUC12]</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Generate Reports &amp; Statistics [SPUC13]</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r w:rsidR="00CB173E" w:rsidRPr="005B6070" w:rsidTr="00CC7B96">
        <w:trPr>
          <w:trHeight w:val="30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Provide Data for RIS COMEX [SPUC14]</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r>
      <w:tr w:rsidR="00CB173E" w:rsidRPr="005B6070" w:rsidTr="00CC7B96">
        <w:trPr>
          <w:trHeight w:val="420"/>
        </w:trPr>
        <w:tc>
          <w:tcPr>
            <w:tcW w:w="2924" w:type="dxa"/>
            <w:tcBorders>
              <w:top w:val="nil"/>
              <w:left w:val="single" w:sz="4" w:space="0" w:color="595959"/>
              <w:bottom w:val="single" w:sz="4" w:space="0" w:color="595959"/>
              <w:right w:val="single" w:sz="4" w:space="0" w:color="595959"/>
            </w:tcBorders>
            <w:shd w:val="clear" w:color="auto" w:fill="auto"/>
            <w:hideMark/>
          </w:tcPr>
          <w:p w:rsidR="00CB173E" w:rsidRPr="005B6070" w:rsidRDefault="00CB173E" w:rsidP="00CC7B96">
            <w:pPr>
              <w:spacing w:after="0"/>
              <w:jc w:val="left"/>
              <w:rPr>
                <w:color w:val="000000"/>
                <w:sz w:val="16"/>
                <w:szCs w:val="16"/>
                <w:lang w:eastAsia="en-GB"/>
              </w:rPr>
            </w:pPr>
            <w:r w:rsidRPr="005B6070">
              <w:rPr>
                <w:color w:val="000000"/>
                <w:sz w:val="16"/>
                <w:szCs w:val="16"/>
                <w:lang w:eastAsia="en-GB"/>
              </w:rPr>
              <w:t>Provide Map Content for FIS Portal [SPUC15]</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534"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116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c>
          <w:tcPr>
            <w:tcW w:w="898"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x</w:t>
            </w:r>
          </w:p>
        </w:tc>
        <w:tc>
          <w:tcPr>
            <w:tcW w:w="930" w:type="dxa"/>
            <w:tcBorders>
              <w:top w:val="nil"/>
              <w:left w:val="nil"/>
              <w:bottom w:val="single" w:sz="4" w:space="0" w:color="595959"/>
              <w:right w:val="single" w:sz="4" w:space="0" w:color="595959"/>
            </w:tcBorders>
            <w:shd w:val="clear" w:color="auto" w:fill="auto"/>
            <w:hideMark/>
          </w:tcPr>
          <w:p w:rsidR="00CB173E" w:rsidRPr="005B6070" w:rsidRDefault="00CB173E" w:rsidP="00CC7B96">
            <w:pPr>
              <w:spacing w:after="0"/>
              <w:jc w:val="center"/>
              <w:rPr>
                <w:color w:val="000000"/>
                <w:sz w:val="16"/>
                <w:szCs w:val="16"/>
                <w:lang w:eastAsia="en-GB"/>
              </w:rPr>
            </w:pPr>
            <w:r w:rsidRPr="005B6070">
              <w:rPr>
                <w:color w:val="000000"/>
                <w:sz w:val="16"/>
                <w:szCs w:val="16"/>
                <w:lang w:eastAsia="en-GB"/>
              </w:rPr>
              <w:t> </w:t>
            </w:r>
          </w:p>
        </w:tc>
      </w:tr>
    </w:tbl>
    <w:p w:rsidR="00CB173E" w:rsidRPr="005B6070" w:rsidRDefault="00CB173E" w:rsidP="00CB173E"/>
    <w:p w:rsidR="00CB173E" w:rsidRPr="005B6070" w:rsidRDefault="00CB173E" w:rsidP="00CB173E">
      <w:pPr>
        <w:spacing w:after="0"/>
        <w:jc w:val="left"/>
        <w:rPr>
          <w:rFonts w:cs="Arial"/>
          <w:b/>
          <w:bCs/>
          <w:color w:val="000000" w:themeColor="text2"/>
          <w:szCs w:val="26"/>
        </w:rPr>
      </w:pPr>
      <w:bookmarkStart w:id="50" w:name="_Toc475389091"/>
      <w:bookmarkStart w:id="51" w:name="_Toc478375710"/>
      <w:bookmarkStart w:id="52" w:name="_Toc487044192"/>
      <w:r w:rsidRPr="005B6070">
        <w:br w:type="page"/>
      </w:r>
    </w:p>
    <w:p w:rsidR="00CB173E" w:rsidRPr="005B6070" w:rsidRDefault="00CB173E" w:rsidP="00CB173E">
      <w:pPr>
        <w:pStyle w:val="berschrift3"/>
        <w:numPr>
          <w:ilvl w:val="2"/>
          <w:numId w:val="1"/>
        </w:numPr>
        <w:ind w:left="567" w:hanging="567"/>
      </w:pPr>
      <w:bookmarkStart w:id="53" w:name="_Toc494362466"/>
      <w:r w:rsidRPr="005B6070">
        <w:t>Overview of Administrative Primary Use Cases</w:t>
      </w:r>
      <w:bookmarkEnd w:id="50"/>
      <w:bookmarkEnd w:id="51"/>
      <w:bookmarkEnd w:id="52"/>
      <w:bookmarkEnd w:id="53"/>
    </w:p>
    <w:p w:rsidR="00CB173E" w:rsidRPr="005B6070" w:rsidRDefault="00CB173E" w:rsidP="00CB173E">
      <w:r w:rsidRPr="005B6070">
        <w:t>Administrative primary use cases are actions to setup the system from the initial installation and maintain the system user accounts and the privileges.</w:t>
      </w:r>
    </w:p>
    <w:p w:rsidR="00CB173E" w:rsidRPr="005B6070" w:rsidRDefault="00CB173E" w:rsidP="00CB173E">
      <w:pPr>
        <w:jc w:val="center"/>
      </w:pPr>
      <w:r w:rsidRPr="005B6070">
        <w:rPr>
          <w:noProof/>
          <w:lang w:val="de-AT" w:eastAsia="de-AT"/>
        </w:rPr>
        <w:drawing>
          <wp:inline distT="0" distB="0" distL="0" distR="0" wp14:anchorId="425F1F7B" wp14:editId="56478DFF">
            <wp:extent cx="4585944" cy="4788708"/>
            <wp:effectExtent l="19050" t="0" r="5106" b="0"/>
            <wp:docPr id="10" name="Grafik 9" descr="figure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_3.png"/>
                    <pic:cNvPicPr/>
                  </pic:nvPicPr>
                  <pic:blipFill>
                    <a:blip r:embed="rId19" cstate="print"/>
                    <a:srcRect l="1411" t="1421" r="1140" b="1320"/>
                    <a:stretch>
                      <a:fillRect/>
                    </a:stretch>
                  </pic:blipFill>
                  <pic:spPr>
                    <a:xfrm>
                      <a:off x="0" y="0"/>
                      <a:ext cx="4588299" cy="4791167"/>
                    </a:xfrm>
                    <a:prstGeom prst="rect">
                      <a:avLst/>
                    </a:prstGeom>
                  </pic:spPr>
                </pic:pic>
              </a:graphicData>
            </a:graphic>
          </wp:inline>
        </w:drawing>
      </w:r>
    </w:p>
    <w:p w:rsidR="00CB173E" w:rsidRPr="005B6070" w:rsidRDefault="00CB173E" w:rsidP="00CB173E">
      <w:pPr>
        <w:pStyle w:val="Beschriftung"/>
      </w:pPr>
      <w:bookmarkStart w:id="54" w:name="_Toc476650123"/>
      <w:bookmarkStart w:id="55" w:name="_Toc478244699"/>
      <w:bookmarkStart w:id="56" w:name="_Toc487044258"/>
      <w:bookmarkStart w:id="57" w:name="_Toc494362532"/>
      <w:r w:rsidRPr="005B6070">
        <w:t xml:space="preserve">Figure </w:t>
      </w:r>
      <w:r w:rsidRPr="005B6070">
        <w:fldChar w:fldCharType="begin"/>
      </w:r>
      <w:r w:rsidRPr="005B6070">
        <w:instrText xml:space="preserve"> SEQ Figure \* ARABIC </w:instrText>
      </w:r>
      <w:r w:rsidRPr="005B6070">
        <w:fldChar w:fldCharType="separate"/>
      </w:r>
      <w:r>
        <w:rPr>
          <w:noProof/>
        </w:rPr>
        <w:t>5</w:t>
      </w:r>
      <w:r w:rsidRPr="005B6070">
        <w:fldChar w:fldCharType="end"/>
      </w:r>
      <w:r w:rsidRPr="005B6070">
        <w:t>: Administrative Primary Use Cases</w:t>
      </w:r>
      <w:bookmarkEnd w:id="54"/>
      <w:bookmarkEnd w:id="55"/>
      <w:bookmarkEnd w:id="56"/>
      <w:bookmarkEnd w:id="57"/>
    </w:p>
    <w:p w:rsidR="00CB173E" w:rsidRPr="005B6070" w:rsidRDefault="00CB173E" w:rsidP="00CB173E"/>
    <w:p w:rsidR="00CB173E" w:rsidRPr="005B6070" w:rsidRDefault="00CB173E" w:rsidP="00CB173E">
      <w:pPr>
        <w:pStyle w:val="Listenabsatz"/>
        <w:numPr>
          <w:ilvl w:val="0"/>
          <w:numId w:val="2"/>
        </w:numPr>
      </w:pPr>
      <w:bookmarkStart w:id="58" w:name="_Toc475389092"/>
      <w:r w:rsidRPr="005B6070">
        <w:t>Administration Login [APUC1]</w:t>
      </w:r>
    </w:p>
    <w:p w:rsidR="00CB173E" w:rsidRPr="005B6070" w:rsidRDefault="00CB173E" w:rsidP="00CB173E">
      <w:pPr>
        <w:pStyle w:val="Listenabsatz"/>
        <w:numPr>
          <w:ilvl w:val="0"/>
          <w:numId w:val="2"/>
        </w:numPr>
      </w:pPr>
      <w:r w:rsidRPr="005B6070">
        <w:t>Administration Logout [APUC2]</w:t>
      </w:r>
    </w:p>
    <w:p w:rsidR="00CB173E" w:rsidRPr="005B6070" w:rsidRDefault="00CB173E" w:rsidP="00CB173E">
      <w:pPr>
        <w:pStyle w:val="Listenabsatz"/>
        <w:numPr>
          <w:ilvl w:val="0"/>
          <w:numId w:val="2"/>
        </w:numPr>
      </w:pPr>
      <w:r w:rsidRPr="005B6070">
        <w:t>Manage Users [APUC3]</w:t>
      </w:r>
    </w:p>
    <w:p w:rsidR="00CB173E" w:rsidRPr="005B6070" w:rsidRDefault="00CB173E" w:rsidP="00CB173E">
      <w:pPr>
        <w:pStyle w:val="Listenabsatz"/>
        <w:numPr>
          <w:ilvl w:val="0"/>
          <w:numId w:val="2"/>
        </w:numPr>
      </w:pPr>
      <w:r w:rsidRPr="005B6070">
        <w:t>Manage Roles and Privileges [APUC4]</w:t>
      </w:r>
    </w:p>
    <w:p w:rsidR="00CB173E" w:rsidRPr="005B6070" w:rsidRDefault="00CB173E" w:rsidP="00CB173E">
      <w:pPr>
        <w:pStyle w:val="Listenabsatz"/>
        <w:numPr>
          <w:ilvl w:val="0"/>
          <w:numId w:val="2"/>
        </w:numPr>
      </w:pPr>
      <w:r w:rsidRPr="005B6070">
        <w:t>Import Data [APUC5]</w:t>
      </w:r>
    </w:p>
    <w:p w:rsidR="00CB173E" w:rsidRPr="005B6070" w:rsidRDefault="00CB173E" w:rsidP="00CB173E">
      <w:pPr>
        <w:pStyle w:val="Listenabsatz"/>
        <w:numPr>
          <w:ilvl w:val="0"/>
          <w:numId w:val="2"/>
        </w:numPr>
      </w:pPr>
      <w:r w:rsidRPr="005B6070">
        <w:t>Manage Templates for Printing, Statistics and Reports [APUC6]</w:t>
      </w:r>
    </w:p>
    <w:p w:rsidR="00CB173E" w:rsidRPr="005B6070" w:rsidRDefault="00CB173E" w:rsidP="00CB173E">
      <w:pPr>
        <w:pStyle w:val="Listenabsatz"/>
        <w:numPr>
          <w:ilvl w:val="0"/>
          <w:numId w:val="2"/>
        </w:numPr>
      </w:pPr>
      <w:r w:rsidRPr="005B6070">
        <w:t>Display Interface and Process Status [APUC7]</w:t>
      </w:r>
    </w:p>
    <w:p w:rsidR="00CB173E" w:rsidRPr="005B6070" w:rsidRDefault="00CB173E" w:rsidP="00CB173E">
      <w:pPr>
        <w:pStyle w:val="Listenabsatz"/>
        <w:numPr>
          <w:ilvl w:val="0"/>
          <w:numId w:val="2"/>
        </w:numPr>
      </w:pPr>
      <w:r w:rsidRPr="005B6070">
        <w:t>Display System Logs [APUC8]</w:t>
      </w:r>
    </w:p>
    <w:p w:rsidR="00CB173E" w:rsidRPr="005B6070" w:rsidRDefault="00CB173E" w:rsidP="00CB173E">
      <w:pPr>
        <w:pStyle w:val="Listenabsatz"/>
        <w:numPr>
          <w:ilvl w:val="0"/>
          <w:numId w:val="2"/>
        </w:numPr>
      </w:pPr>
      <w:r w:rsidRPr="005B6070">
        <w:t>System Notification [APUC9]</w:t>
      </w:r>
    </w:p>
    <w:p w:rsidR="00CB173E" w:rsidRPr="005B6070" w:rsidRDefault="00CB173E" w:rsidP="00CB173E">
      <w:pPr>
        <w:pStyle w:val="Listenabsatz"/>
        <w:numPr>
          <w:ilvl w:val="0"/>
          <w:numId w:val="2"/>
        </w:numPr>
      </w:pPr>
      <w:r w:rsidRPr="005B6070">
        <w:t>Manage System Configuration [APUC10]</w:t>
      </w:r>
    </w:p>
    <w:p w:rsidR="00CB173E" w:rsidRPr="005B6070" w:rsidRDefault="00CB173E" w:rsidP="00CB173E">
      <w:pPr>
        <w:ind w:left="360"/>
      </w:pPr>
    </w:p>
    <w:p w:rsidR="00CB173E" w:rsidRPr="005B6070" w:rsidRDefault="00CB173E" w:rsidP="00CB173E">
      <w:pPr>
        <w:spacing w:after="0"/>
        <w:jc w:val="left"/>
        <w:rPr>
          <w:rFonts w:cs="Arial"/>
          <w:b/>
          <w:bCs/>
          <w:color w:val="000000" w:themeColor="text2"/>
          <w:szCs w:val="26"/>
        </w:rPr>
      </w:pPr>
      <w:bookmarkStart w:id="59" w:name="_Toc478375711"/>
      <w:bookmarkStart w:id="60" w:name="_Toc487044193"/>
      <w:r w:rsidRPr="005B6070">
        <w:br w:type="page"/>
      </w:r>
    </w:p>
    <w:p w:rsidR="00CB173E" w:rsidRPr="005B6070" w:rsidRDefault="00CB173E" w:rsidP="00CB173E">
      <w:pPr>
        <w:pStyle w:val="berschrift3"/>
        <w:numPr>
          <w:ilvl w:val="2"/>
          <w:numId w:val="1"/>
        </w:numPr>
        <w:ind w:left="567" w:hanging="567"/>
      </w:pPr>
      <w:bookmarkStart w:id="61" w:name="_Toc494362467"/>
      <w:r w:rsidRPr="005B6070">
        <w:t>Overview of General Primary Use Cases</w:t>
      </w:r>
      <w:bookmarkEnd w:id="58"/>
      <w:bookmarkEnd w:id="59"/>
      <w:bookmarkEnd w:id="60"/>
      <w:bookmarkEnd w:id="61"/>
    </w:p>
    <w:p w:rsidR="00CB173E" w:rsidRPr="005B6070" w:rsidRDefault="00CB173E" w:rsidP="00CB173E">
      <w:r w:rsidRPr="005B6070">
        <w:t>The general primary use cases cover all actions which form a standard web-GIS application.</w:t>
      </w:r>
    </w:p>
    <w:p w:rsidR="00CB173E" w:rsidRPr="005B6070" w:rsidRDefault="00CB173E" w:rsidP="00CB173E">
      <w:pPr>
        <w:jc w:val="center"/>
      </w:pPr>
      <w:r w:rsidRPr="005B6070">
        <w:rPr>
          <w:noProof/>
          <w:lang w:val="de-AT" w:eastAsia="de-AT"/>
        </w:rPr>
        <w:drawing>
          <wp:inline distT="0" distB="0" distL="0" distR="0" wp14:anchorId="293727DF" wp14:editId="440154E0">
            <wp:extent cx="5801657" cy="5924550"/>
            <wp:effectExtent l="19050" t="0" r="8593" b="0"/>
            <wp:docPr id="35" name="Grafik 34" descr="General Use Cas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 Use Cases.png"/>
                    <pic:cNvPicPr/>
                  </pic:nvPicPr>
                  <pic:blipFill>
                    <a:blip r:embed="rId20" cstate="print"/>
                    <a:srcRect l="1818" t="977" r="904" b="1140"/>
                    <a:stretch>
                      <a:fillRect/>
                    </a:stretch>
                  </pic:blipFill>
                  <pic:spPr>
                    <a:xfrm>
                      <a:off x="0" y="0"/>
                      <a:ext cx="5807951" cy="5930977"/>
                    </a:xfrm>
                    <a:prstGeom prst="rect">
                      <a:avLst/>
                    </a:prstGeom>
                  </pic:spPr>
                </pic:pic>
              </a:graphicData>
            </a:graphic>
          </wp:inline>
        </w:drawing>
      </w:r>
    </w:p>
    <w:p w:rsidR="00CB173E" w:rsidRPr="005B6070" w:rsidRDefault="00CB173E" w:rsidP="00CB173E">
      <w:pPr>
        <w:pStyle w:val="Beschriftung"/>
      </w:pPr>
      <w:bookmarkStart w:id="62" w:name="_Toc476650124"/>
      <w:bookmarkStart w:id="63" w:name="_Toc478244700"/>
      <w:bookmarkStart w:id="64" w:name="_Toc487044259"/>
      <w:bookmarkStart w:id="65" w:name="_Toc494362533"/>
      <w:r w:rsidRPr="005B6070">
        <w:t xml:space="preserve">Figure </w:t>
      </w:r>
      <w:r w:rsidRPr="005B6070">
        <w:fldChar w:fldCharType="begin"/>
      </w:r>
      <w:r w:rsidRPr="005B6070">
        <w:instrText xml:space="preserve"> SEQ Figure \* ARABIC </w:instrText>
      </w:r>
      <w:r w:rsidRPr="005B6070">
        <w:fldChar w:fldCharType="separate"/>
      </w:r>
      <w:r>
        <w:rPr>
          <w:noProof/>
        </w:rPr>
        <w:t>6</w:t>
      </w:r>
      <w:r w:rsidRPr="005B6070">
        <w:fldChar w:fldCharType="end"/>
      </w:r>
      <w:r w:rsidRPr="005B6070">
        <w:t>: General Primary Use Cases</w:t>
      </w:r>
      <w:bookmarkEnd w:id="62"/>
      <w:bookmarkEnd w:id="63"/>
      <w:bookmarkEnd w:id="64"/>
      <w:bookmarkEnd w:id="65"/>
    </w:p>
    <w:p w:rsidR="00CB173E" w:rsidRPr="005B6070" w:rsidRDefault="00CB173E" w:rsidP="00CB173E">
      <w:pPr>
        <w:pStyle w:val="Listenabsatz"/>
        <w:numPr>
          <w:ilvl w:val="0"/>
          <w:numId w:val="2"/>
        </w:numPr>
      </w:pPr>
      <w:r w:rsidRPr="005B6070">
        <w:t>Login [GPUC1]</w:t>
      </w:r>
    </w:p>
    <w:p w:rsidR="00CB173E" w:rsidRPr="005B6070" w:rsidRDefault="00CB173E" w:rsidP="00CB173E">
      <w:pPr>
        <w:pStyle w:val="Listenabsatz"/>
        <w:numPr>
          <w:ilvl w:val="0"/>
          <w:numId w:val="2"/>
        </w:numPr>
      </w:pPr>
      <w:r w:rsidRPr="005B6070">
        <w:t>Logout [GPUC2]</w:t>
      </w:r>
    </w:p>
    <w:p w:rsidR="00CB173E" w:rsidRPr="005B6070" w:rsidRDefault="00CB173E" w:rsidP="00CB173E">
      <w:pPr>
        <w:pStyle w:val="Listenabsatz"/>
        <w:numPr>
          <w:ilvl w:val="0"/>
          <w:numId w:val="2"/>
        </w:numPr>
      </w:pPr>
      <w:r w:rsidRPr="005B6070">
        <w:t>Reset Password [GPUC3]</w:t>
      </w:r>
    </w:p>
    <w:p w:rsidR="00CB173E" w:rsidRPr="005B6070" w:rsidRDefault="00CB173E" w:rsidP="00CB173E">
      <w:pPr>
        <w:pStyle w:val="Listenabsatz"/>
        <w:numPr>
          <w:ilvl w:val="0"/>
          <w:numId w:val="2"/>
        </w:numPr>
      </w:pPr>
      <w:r w:rsidRPr="005B6070">
        <w:t>Choose Language [GPUC4]</w:t>
      </w:r>
    </w:p>
    <w:p w:rsidR="00CB173E" w:rsidRPr="005B6070" w:rsidRDefault="00CB173E" w:rsidP="00CB173E">
      <w:pPr>
        <w:pStyle w:val="Listenabsatz"/>
        <w:numPr>
          <w:ilvl w:val="0"/>
          <w:numId w:val="2"/>
        </w:numPr>
      </w:pPr>
      <w:r w:rsidRPr="005B6070">
        <w:t>Overview of Base Data [GPUC5]</w:t>
      </w:r>
    </w:p>
    <w:p w:rsidR="00CB173E" w:rsidRPr="005B6070" w:rsidRDefault="00CB173E" w:rsidP="00CB173E">
      <w:pPr>
        <w:pStyle w:val="Listenabsatz"/>
        <w:numPr>
          <w:ilvl w:val="0"/>
          <w:numId w:val="2"/>
        </w:numPr>
      </w:pPr>
      <w:r w:rsidRPr="005B6070">
        <w:t>Navigate in Map [GPUC6]</w:t>
      </w:r>
    </w:p>
    <w:p w:rsidR="00CB173E" w:rsidRPr="005B6070" w:rsidRDefault="00CB173E" w:rsidP="00CB173E">
      <w:pPr>
        <w:pStyle w:val="Listenabsatz"/>
        <w:numPr>
          <w:ilvl w:val="0"/>
          <w:numId w:val="2"/>
        </w:numPr>
      </w:pPr>
      <w:r w:rsidRPr="005B6070">
        <w:t>Print Map Content [GPUC7]</w:t>
      </w:r>
    </w:p>
    <w:p w:rsidR="00CB173E" w:rsidRPr="005B6070" w:rsidRDefault="00CB173E" w:rsidP="00CB173E">
      <w:pPr>
        <w:pStyle w:val="Listenabsatz"/>
        <w:numPr>
          <w:ilvl w:val="0"/>
          <w:numId w:val="2"/>
        </w:numPr>
      </w:pPr>
      <w:r w:rsidRPr="005B6070">
        <w:t>Identify Tool [GPUC8]</w:t>
      </w:r>
    </w:p>
    <w:p w:rsidR="00CB173E" w:rsidRPr="005B6070" w:rsidRDefault="00CB173E" w:rsidP="00CB173E">
      <w:pPr>
        <w:pStyle w:val="Listenabsatz"/>
        <w:numPr>
          <w:ilvl w:val="0"/>
          <w:numId w:val="2"/>
        </w:numPr>
      </w:pPr>
      <w:r w:rsidRPr="005B6070">
        <w:t>Measure on Map [GPUC9]</w:t>
      </w:r>
    </w:p>
    <w:p w:rsidR="00CB173E" w:rsidRPr="005B6070" w:rsidRDefault="00CB173E" w:rsidP="00CB173E">
      <w:pPr>
        <w:pStyle w:val="Listenabsatz"/>
        <w:numPr>
          <w:ilvl w:val="0"/>
          <w:numId w:val="2"/>
        </w:numPr>
      </w:pPr>
      <w:r w:rsidRPr="005B6070">
        <w:t>Search Features [GPUC10]</w:t>
      </w:r>
    </w:p>
    <w:p w:rsidR="00CB173E" w:rsidRPr="005B6070" w:rsidRDefault="00CB173E" w:rsidP="00CB173E">
      <w:pPr>
        <w:pStyle w:val="Listenabsatz"/>
        <w:numPr>
          <w:ilvl w:val="0"/>
          <w:numId w:val="2"/>
        </w:numPr>
      </w:pPr>
      <w:r w:rsidRPr="005B6070">
        <w:t>Manipulate Map Content [GPUC11]</w:t>
      </w:r>
    </w:p>
    <w:p w:rsidR="00CB173E" w:rsidRPr="005B6070" w:rsidRDefault="00CB173E" w:rsidP="00CB173E">
      <w:pPr>
        <w:pStyle w:val="Listenabsatz"/>
        <w:numPr>
          <w:ilvl w:val="0"/>
          <w:numId w:val="2"/>
        </w:numPr>
      </w:pPr>
      <w:r w:rsidRPr="005B6070">
        <w:t>Identify Map Content [GPUC12]</w:t>
      </w:r>
    </w:p>
    <w:p w:rsidR="00CB173E" w:rsidRPr="005B6070" w:rsidRDefault="00CB173E" w:rsidP="00CB173E">
      <w:pPr>
        <w:pStyle w:val="Listenabsatz"/>
        <w:numPr>
          <w:ilvl w:val="0"/>
          <w:numId w:val="2"/>
        </w:numPr>
      </w:pPr>
      <w:bookmarkStart w:id="66" w:name="_Toc476838689"/>
      <w:r w:rsidRPr="005B6070">
        <w:t>Download User Manual[GPUC13]</w:t>
      </w:r>
    </w:p>
    <w:p w:rsidR="00CB173E" w:rsidRPr="005B6070" w:rsidRDefault="00CB173E" w:rsidP="00CB173E">
      <w:pPr>
        <w:pStyle w:val="berschrift3"/>
        <w:numPr>
          <w:ilvl w:val="2"/>
          <w:numId w:val="1"/>
        </w:numPr>
        <w:ind w:left="567" w:hanging="567"/>
      </w:pPr>
      <w:bookmarkStart w:id="67" w:name="_Toc478375712"/>
      <w:bookmarkStart w:id="68" w:name="_Toc487044194"/>
      <w:bookmarkStart w:id="69" w:name="_Toc494362468"/>
      <w:r w:rsidRPr="005B6070">
        <w:t>Overview of Special Primary Use Cases</w:t>
      </w:r>
      <w:bookmarkEnd w:id="66"/>
      <w:bookmarkEnd w:id="67"/>
      <w:bookmarkEnd w:id="68"/>
      <w:bookmarkEnd w:id="69"/>
    </w:p>
    <w:p w:rsidR="00CB173E" w:rsidRPr="005B6070" w:rsidRDefault="00CB173E" w:rsidP="00CB173E">
      <w:r w:rsidRPr="005B6070">
        <w:t>The special primary use cases cover all activities which are used to manage the waterway monitoring issues.</w:t>
      </w:r>
    </w:p>
    <w:p w:rsidR="00CB173E" w:rsidRPr="005B6070" w:rsidRDefault="00CB173E" w:rsidP="00CB173E">
      <w:pPr>
        <w:jc w:val="center"/>
      </w:pPr>
      <w:r w:rsidRPr="005B6070">
        <w:rPr>
          <w:noProof/>
          <w:lang w:val="de-AT" w:eastAsia="de-AT"/>
        </w:rPr>
        <w:drawing>
          <wp:inline distT="0" distB="0" distL="0" distR="0" wp14:anchorId="38F9313F" wp14:editId="4AE31374">
            <wp:extent cx="5802957" cy="6115050"/>
            <wp:effectExtent l="19050" t="0" r="7293" b="0"/>
            <wp:docPr id="39" name="Grafik 38" descr="Special Use Cas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cial Use Cases.png"/>
                    <pic:cNvPicPr/>
                  </pic:nvPicPr>
                  <pic:blipFill>
                    <a:blip r:embed="rId21" cstate="print"/>
                    <a:srcRect l="826" t="943" r="826" b="542"/>
                    <a:stretch>
                      <a:fillRect/>
                    </a:stretch>
                  </pic:blipFill>
                  <pic:spPr>
                    <a:xfrm>
                      <a:off x="0" y="0"/>
                      <a:ext cx="5806274" cy="6118546"/>
                    </a:xfrm>
                    <a:prstGeom prst="rect">
                      <a:avLst/>
                    </a:prstGeom>
                  </pic:spPr>
                </pic:pic>
              </a:graphicData>
            </a:graphic>
          </wp:inline>
        </w:drawing>
      </w:r>
    </w:p>
    <w:p w:rsidR="00CB173E" w:rsidRPr="005B6070" w:rsidRDefault="00CB173E" w:rsidP="00CB173E">
      <w:pPr>
        <w:pStyle w:val="Beschriftung"/>
      </w:pPr>
      <w:bookmarkStart w:id="70" w:name="_Toc476650125"/>
      <w:bookmarkStart w:id="71" w:name="_Toc478244701"/>
      <w:bookmarkStart w:id="72" w:name="_Toc487044260"/>
      <w:bookmarkStart w:id="73" w:name="_Toc494362534"/>
      <w:r w:rsidRPr="005B6070">
        <w:t xml:space="preserve">Figure </w:t>
      </w:r>
      <w:r w:rsidRPr="005B6070">
        <w:fldChar w:fldCharType="begin"/>
      </w:r>
      <w:r w:rsidRPr="005B6070">
        <w:instrText xml:space="preserve"> SEQ Figure \* ARABIC </w:instrText>
      </w:r>
      <w:r w:rsidRPr="005B6070">
        <w:fldChar w:fldCharType="separate"/>
      </w:r>
      <w:r>
        <w:rPr>
          <w:noProof/>
        </w:rPr>
        <w:t>7</w:t>
      </w:r>
      <w:r w:rsidRPr="005B6070">
        <w:fldChar w:fldCharType="end"/>
      </w:r>
      <w:r w:rsidRPr="005B6070">
        <w:t>: Special Primary Use Cases</w:t>
      </w:r>
      <w:bookmarkEnd w:id="70"/>
      <w:bookmarkEnd w:id="71"/>
      <w:bookmarkEnd w:id="72"/>
      <w:bookmarkEnd w:id="73"/>
    </w:p>
    <w:p w:rsidR="00CB173E" w:rsidRPr="005B6070" w:rsidRDefault="00CB173E" w:rsidP="00CB173E">
      <w:pPr>
        <w:pStyle w:val="Listenabsatz"/>
        <w:numPr>
          <w:ilvl w:val="0"/>
          <w:numId w:val="2"/>
        </w:numPr>
      </w:pPr>
      <w:r w:rsidRPr="005B6070">
        <w:t>Display Riverbed Morphology [SPUC1]</w:t>
      </w:r>
    </w:p>
    <w:p w:rsidR="00CB173E" w:rsidRPr="005B6070" w:rsidRDefault="00CB173E" w:rsidP="00CB173E">
      <w:pPr>
        <w:pStyle w:val="Listenabsatz"/>
        <w:numPr>
          <w:ilvl w:val="0"/>
          <w:numId w:val="2"/>
        </w:numPr>
      </w:pPr>
      <w:r w:rsidRPr="005B6070">
        <w:t>Display Riverbed Changes [SPUC2]</w:t>
      </w:r>
    </w:p>
    <w:p w:rsidR="00CB173E" w:rsidRPr="005B6070" w:rsidRDefault="00CB173E" w:rsidP="00CB173E">
      <w:pPr>
        <w:pStyle w:val="Listenabsatz"/>
        <w:numPr>
          <w:ilvl w:val="0"/>
          <w:numId w:val="2"/>
        </w:numPr>
      </w:pPr>
      <w:r w:rsidRPr="005B6070">
        <w:t>Display Fairway Dimensions [SPUC3]</w:t>
      </w:r>
    </w:p>
    <w:p w:rsidR="00CB173E" w:rsidRPr="005B6070" w:rsidRDefault="00CB173E" w:rsidP="00CB173E">
      <w:pPr>
        <w:pStyle w:val="Listenabsatz"/>
        <w:numPr>
          <w:ilvl w:val="0"/>
          <w:numId w:val="2"/>
        </w:numPr>
      </w:pPr>
      <w:r w:rsidRPr="005B6070">
        <w:t>Display Available Fairway Depths [SPUC4]</w:t>
      </w:r>
    </w:p>
    <w:p w:rsidR="00CB173E" w:rsidRPr="005B6070" w:rsidRDefault="00CB173E" w:rsidP="00CB173E">
      <w:pPr>
        <w:pStyle w:val="Listenabsatz"/>
        <w:numPr>
          <w:ilvl w:val="0"/>
          <w:numId w:val="2"/>
        </w:numPr>
      </w:pPr>
      <w:r w:rsidRPr="005B6070">
        <w:t>Display Available Fairway Depths vs. LNWL [SPUC5]</w:t>
      </w:r>
    </w:p>
    <w:p w:rsidR="00CB173E" w:rsidRPr="005B6070" w:rsidRDefault="00CB173E" w:rsidP="00CB173E">
      <w:pPr>
        <w:pStyle w:val="Listenabsatz"/>
        <w:numPr>
          <w:ilvl w:val="0"/>
          <w:numId w:val="2"/>
        </w:numPr>
      </w:pPr>
      <w:r w:rsidRPr="005B6070">
        <w:t>Timeline Availability/Measures [SPUC6]</w:t>
      </w:r>
    </w:p>
    <w:p w:rsidR="00CB173E" w:rsidRPr="005B6070" w:rsidRDefault="00CB173E" w:rsidP="00CB173E">
      <w:pPr>
        <w:pStyle w:val="Listenabsatz"/>
        <w:numPr>
          <w:ilvl w:val="0"/>
          <w:numId w:val="2"/>
        </w:numPr>
      </w:pPr>
      <w:r w:rsidRPr="005B6070">
        <w:t>Display Water Level [SPUC7]</w:t>
      </w:r>
    </w:p>
    <w:p w:rsidR="00CB173E" w:rsidRPr="005B6070" w:rsidRDefault="00CB173E" w:rsidP="00CB173E">
      <w:pPr>
        <w:pStyle w:val="Listenabsatz"/>
        <w:numPr>
          <w:ilvl w:val="0"/>
          <w:numId w:val="2"/>
        </w:numPr>
      </w:pPr>
      <w:r w:rsidRPr="005B6070">
        <w:t>Display Hydrological Conditions [SPUC8]</w:t>
      </w:r>
    </w:p>
    <w:p w:rsidR="00CB173E" w:rsidRPr="005B6070" w:rsidRDefault="00CB173E" w:rsidP="00CB173E">
      <w:pPr>
        <w:pStyle w:val="Listenabsatz"/>
        <w:numPr>
          <w:ilvl w:val="0"/>
          <w:numId w:val="2"/>
        </w:numPr>
      </w:pPr>
      <w:r w:rsidRPr="005B6070">
        <w:t>Display</w:t>
      </w:r>
      <w:r w:rsidRPr="005B6070" w:rsidDel="003935D3">
        <w:t xml:space="preserve"> </w:t>
      </w:r>
      <w:r w:rsidRPr="005B6070">
        <w:t>Rehabilitation &amp; Maintenance Measures [SPUC9]</w:t>
      </w:r>
    </w:p>
    <w:p w:rsidR="00CB173E" w:rsidRPr="005B6070" w:rsidRDefault="00CB173E" w:rsidP="00CB173E">
      <w:pPr>
        <w:pStyle w:val="Listenabsatz"/>
        <w:numPr>
          <w:ilvl w:val="0"/>
          <w:numId w:val="2"/>
        </w:numPr>
      </w:pPr>
      <w:r w:rsidRPr="005B6070">
        <w:t>Evaluate</w:t>
      </w:r>
      <w:r w:rsidRPr="005B6070" w:rsidDel="003935D3">
        <w:t xml:space="preserve"> </w:t>
      </w:r>
      <w:r w:rsidRPr="005B6070">
        <w:t>Rehabilitation &amp; Maintenance Measures [SPUC10]</w:t>
      </w:r>
    </w:p>
    <w:p w:rsidR="00CB173E" w:rsidRPr="005B6070" w:rsidRDefault="00CB173E" w:rsidP="00CB173E">
      <w:pPr>
        <w:pStyle w:val="Listenabsatz"/>
        <w:numPr>
          <w:ilvl w:val="0"/>
          <w:numId w:val="2"/>
        </w:numPr>
      </w:pPr>
      <w:r w:rsidRPr="005B6070">
        <w:t>Display current and historic Fairway Marks</w:t>
      </w:r>
      <w:r w:rsidRPr="005B6070" w:rsidDel="003935D3">
        <w:t xml:space="preserve"> </w:t>
      </w:r>
      <w:r w:rsidRPr="005B6070">
        <w:t>[SPUC11]</w:t>
      </w:r>
    </w:p>
    <w:p w:rsidR="00CB173E" w:rsidRPr="005B6070" w:rsidRDefault="00CB173E" w:rsidP="00CB173E">
      <w:pPr>
        <w:pStyle w:val="Listenabsatz"/>
        <w:numPr>
          <w:ilvl w:val="0"/>
          <w:numId w:val="2"/>
        </w:numPr>
      </w:pPr>
      <w:r w:rsidRPr="005B6070">
        <w:t>Availability/Accuracy of Data [SPUC12]</w:t>
      </w:r>
    </w:p>
    <w:p w:rsidR="00CB173E" w:rsidRPr="005B6070" w:rsidRDefault="00CB173E" w:rsidP="00CB173E">
      <w:pPr>
        <w:pStyle w:val="Listenabsatz"/>
        <w:numPr>
          <w:ilvl w:val="0"/>
          <w:numId w:val="2"/>
        </w:numPr>
      </w:pPr>
      <w:r w:rsidRPr="005B6070">
        <w:t>Generate Reports &amp; Statistics [SPUC13]</w:t>
      </w:r>
    </w:p>
    <w:p w:rsidR="00CB173E" w:rsidRPr="005B6070" w:rsidRDefault="00CB173E" w:rsidP="00CB173E">
      <w:pPr>
        <w:pStyle w:val="Listenabsatz"/>
        <w:numPr>
          <w:ilvl w:val="0"/>
          <w:numId w:val="2"/>
        </w:numPr>
      </w:pPr>
      <w:r w:rsidRPr="005B6070">
        <w:t>Provide Data for RIS COMEX [SPUC14]</w:t>
      </w:r>
    </w:p>
    <w:p w:rsidR="00CB173E" w:rsidRPr="005B6070" w:rsidRDefault="00CB173E" w:rsidP="00CB173E">
      <w:pPr>
        <w:pStyle w:val="Listenabsatz"/>
        <w:numPr>
          <w:ilvl w:val="0"/>
          <w:numId w:val="2"/>
        </w:numPr>
      </w:pPr>
      <w:r w:rsidRPr="005B6070">
        <w:t>Provide Map Content for FIS Portal [SPUC15]</w:t>
      </w:r>
    </w:p>
    <w:p w:rsidR="00CB173E" w:rsidRPr="005B6070" w:rsidRDefault="00CB173E" w:rsidP="00CB173E">
      <w:pPr>
        <w:pStyle w:val="berschrift3"/>
        <w:numPr>
          <w:ilvl w:val="2"/>
          <w:numId w:val="1"/>
        </w:numPr>
        <w:ind w:left="567" w:hanging="567"/>
      </w:pPr>
      <w:bookmarkStart w:id="74" w:name="_Toc476838690"/>
      <w:bookmarkStart w:id="75" w:name="_Toc478375713"/>
      <w:bookmarkStart w:id="76" w:name="_Ref478376586"/>
      <w:bookmarkStart w:id="77" w:name="_Ref486787425"/>
      <w:bookmarkStart w:id="78" w:name="_Toc487044195"/>
      <w:bookmarkStart w:id="79" w:name="_Toc494362469"/>
      <w:r w:rsidRPr="005B6070">
        <w:t>Overview of Secondary Use Cases</w:t>
      </w:r>
      <w:bookmarkEnd w:id="74"/>
      <w:bookmarkEnd w:id="75"/>
      <w:bookmarkEnd w:id="76"/>
      <w:bookmarkEnd w:id="77"/>
      <w:bookmarkEnd w:id="78"/>
      <w:bookmarkEnd w:id="79"/>
    </w:p>
    <w:p w:rsidR="00CB173E" w:rsidRPr="005B6070" w:rsidRDefault="00CB173E" w:rsidP="00CB173E">
      <w:pPr>
        <w:jc w:val="center"/>
      </w:pPr>
      <w:r w:rsidRPr="005B6070">
        <w:rPr>
          <w:noProof/>
          <w:lang w:val="de-AT" w:eastAsia="de-AT"/>
        </w:rPr>
        <w:drawing>
          <wp:inline distT="0" distB="0" distL="0" distR="0" wp14:anchorId="72BA0125" wp14:editId="64CAE75E">
            <wp:extent cx="5829300" cy="7702361"/>
            <wp:effectExtent l="19050" t="0" r="0" b="0"/>
            <wp:docPr id="76" name="Grafik 75" descr="Secondary Use Cas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ondary Use Cases.png"/>
                    <pic:cNvPicPr/>
                  </pic:nvPicPr>
                  <pic:blipFill>
                    <a:blip r:embed="rId22" cstate="print"/>
                    <a:stretch>
                      <a:fillRect/>
                    </a:stretch>
                  </pic:blipFill>
                  <pic:spPr>
                    <a:xfrm>
                      <a:off x="0" y="0"/>
                      <a:ext cx="5830273" cy="7703646"/>
                    </a:xfrm>
                    <a:prstGeom prst="rect">
                      <a:avLst/>
                    </a:prstGeom>
                  </pic:spPr>
                </pic:pic>
              </a:graphicData>
            </a:graphic>
          </wp:inline>
        </w:drawing>
      </w:r>
    </w:p>
    <w:p w:rsidR="00CB173E" w:rsidRPr="005B6070" w:rsidRDefault="00CB173E" w:rsidP="00CB173E">
      <w:pPr>
        <w:pStyle w:val="Beschriftung"/>
      </w:pPr>
      <w:bookmarkStart w:id="80" w:name="_Toc476650126"/>
      <w:bookmarkStart w:id="81" w:name="_Toc478244702"/>
      <w:bookmarkStart w:id="82" w:name="_Toc487044261"/>
      <w:bookmarkStart w:id="83" w:name="_Toc494362535"/>
      <w:r w:rsidRPr="005B6070">
        <w:t xml:space="preserve">Figure </w:t>
      </w:r>
      <w:r w:rsidRPr="005B6070">
        <w:fldChar w:fldCharType="begin"/>
      </w:r>
      <w:r w:rsidRPr="005B6070">
        <w:instrText xml:space="preserve"> SEQ Figure \* ARABIC </w:instrText>
      </w:r>
      <w:r w:rsidRPr="005B6070">
        <w:fldChar w:fldCharType="separate"/>
      </w:r>
      <w:r>
        <w:rPr>
          <w:noProof/>
        </w:rPr>
        <w:t>8</w:t>
      </w:r>
      <w:r w:rsidRPr="005B6070">
        <w:rPr>
          <w:noProof/>
        </w:rPr>
        <w:fldChar w:fldCharType="end"/>
      </w:r>
      <w:r w:rsidRPr="005B6070">
        <w:t>: Secondary Use Cases</w:t>
      </w:r>
      <w:bookmarkEnd w:id="80"/>
      <w:bookmarkEnd w:id="81"/>
      <w:bookmarkEnd w:id="82"/>
      <w:bookmarkEnd w:id="83"/>
    </w:p>
    <w:p w:rsidR="00CB173E" w:rsidRPr="005B6070" w:rsidRDefault="00CB173E" w:rsidP="00CB173E">
      <w:pPr>
        <w:pStyle w:val="Listenabsatz"/>
        <w:numPr>
          <w:ilvl w:val="0"/>
          <w:numId w:val="2"/>
        </w:numPr>
      </w:pPr>
      <w:r w:rsidRPr="005B6070">
        <w:t>Import Waterway Area[SUC1]</w:t>
      </w:r>
    </w:p>
    <w:p w:rsidR="00CB173E" w:rsidRPr="005B6070" w:rsidRDefault="00CB173E" w:rsidP="00CB173E">
      <w:pPr>
        <w:pStyle w:val="Listenabsatz"/>
        <w:numPr>
          <w:ilvl w:val="0"/>
          <w:numId w:val="2"/>
        </w:numPr>
      </w:pPr>
      <w:r w:rsidRPr="005B6070">
        <w:t>Import Fairway Dimensions [SUC2]</w:t>
      </w:r>
    </w:p>
    <w:p w:rsidR="00CB173E" w:rsidRPr="005B6070" w:rsidRDefault="00CB173E" w:rsidP="00CB173E">
      <w:pPr>
        <w:pStyle w:val="Listenabsatz"/>
        <w:numPr>
          <w:ilvl w:val="0"/>
          <w:numId w:val="2"/>
        </w:numPr>
      </w:pPr>
      <w:r w:rsidRPr="005B6070">
        <w:t>Import Waterway Axis [SUC3]</w:t>
      </w:r>
    </w:p>
    <w:p w:rsidR="00CB173E" w:rsidRPr="005B6070" w:rsidRDefault="00CB173E" w:rsidP="00CB173E">
      <w:pPr>
        <w:pStyle w:val="Listenabsatz"/>
        <w:numPr>
          <w:ilvl w:val="0"/>
          <w:numId w:val="2"/>
        </w:numPr>
      </w:pPr>
      <w:r w:rsidRPr="005B6070">
        <w:t>Import Sections and Stretches [SUC4]</w:t>
      </w:r>
    </w:p>
    <w:p w:rsidR="00CB173E" w:rsidRPr="005B6070" w:rsidRDefault="00CB173E" w:rsidP="00CB173E">
      <w:pPr>
        <w:pStyle w:val="Listenabsatz"/>
        <w:numPr>
          <w:ilvl w:val="0"/>
          <w:numId w:val="2"/>
        </w:numPr>
      </w:pPr>
      <w:r w:rsidRPr="005B6070">
        <w:t>Request Raw Gauge Measurement [SUC5]</w:t>
      </w:r>
    </w:p>
    <w:p w:rsidR="00CB173E" w:rsidRPr="005B6070" w:rsidRDefault="00CB173E" w:rsidP="00CB173E">
      <w:pPr>
        <w:pStyle w:val="Listenabsatz"/>
        <w:numPr>
          <w:ilvl w:val="0"/>
          <w:numId w:val="2"/>
        </w:numPr>
      </w:pPr>
      <w:r w:rsidRPr="005B6070">
        <w:t>Import Waterway Gauge [SUC6]</w:t>
      </w:r>
    </w:p>
    <w:p w:rsidR="00CB173E" w:rsidRPr="005B6070" w:rsidRDefault="00CB173E" w:rsidP="00CB173E">
      <w:pPr>
        <w:pStyle w:val="Listenabsatz"/>
        <w:numPr>
          <w:ilvl w:val="0"/>
          <w:numId w:val="2"/>
        </w:numPr>
      </w:pPr>
      <w:r w:rsidRPr="005B6070">
        <w:t>Import Distance Marks[SUC7]</w:t>
      </w:r>
    </w:p>
    <w:p w:rsidR="00CB173E" w:rsidRPr="005B6070" w:rsidRDefault="00CB173E" w:rsidP="00CB173E">
      <w:pPr>
        <w:pStyle w:val="Listenabsatz"/>
        <w:numPr>
          <w:ilvl w:val="0"/>
          <w:numId w:val="2"/>
        </w:numPr>
      </w:pPr>
      <w:r w:rsidRPr="005B6070">
        <w:t>Import Bottleneck [SUC8]</w:t>
      </w:r>
    </w:p>
    <w:p w:rsidR="00CB173E" w:rsidRPr="005B6070" w:rsidRDefault="00CB173E" w:rsidP="00CB173E">
      <w:pPr>
        <w:pStyle w:val="Listenabsatz"/>
        <w:numPr>
          <w:ilvl w:val="0"/>
          <w:numId w:val="2"/>
        </w:numPr>
      </w:pPr>
      <w:r w:rsidRPr="005B6070">
        <w:t>Request Approved Gauge Measurement [SUC9]</w:t>
      </w:r>
    </w:p>
    <w:p w:rsidR="00CB173E" w:rsidRPr="005B6070" w:rsidRDefault="00CB173E" w:rsidP="00CB173E">
      <w:pPr>
        <w:pStyle w:val="Listenabsatz"/>
        <w:numPr>
          <w:ilvl w:val="0"/>
          <w:numId w:val="2"/>
        </w:numPr>
      </w:pPr>
      <w:r w:rsidRPr="005B6070">
        <w:t>Import Sounding Results [SUC10]</w:t>
      </w:r>
    </w:p>
    <w:p w:rsidR="00CB173E" w:rsidRPr="005B6070" w:rsidRDefault="00CB173E" w:rsidP="00CB173E">
      <w:pPr>
        <w:pStyle w:val="Listenabsatz"/>
        <w:numPr>
          <w:ilvl w:val="0"/>
          <w:numId w:val="2"/>
        </w:numPr>
      </w:pPr>
      <w:r w:rsidRPr="005B6070">
        <w:t>Import Available Fairway Depths [SUC11]</w:t>
      </w:r>
    </w:p>
    <w:p w:rsidR="00CB173E" w:rsidRPr="005B6070" w:rsidRDefault="00CB173E" w:rsidP="00CB173E">
      <w:pPr>
        <w:pStyle w:val="Listenabsatz"/>
        <w:numPr>
          <w:ilvl w:val="0"/>
          <w:numId w:val="2"/>
        </w:numPr>
      </w:pPr>
      <w:r w:rsidRPr="005B6070">
        <w:t>Import Rehabilitation and Maintenance Measures [SUC12]</w:t>
      </w:r>
    </w:p>
    <w:p w:rsidR="00CB173E" w:rsidRPr="005B6070" w:rsidRDefault="00CB173E" w:rsidP="00CB173E">
      <w:pPr>
        <w:pStyle w:val="Listenabsatz"/>
        <w:numPr>
          <w:ilvl w:val="0"/>
          <w:numId w:val="2"/>
        </w:numPr>
      </w:pPr>
      <w:r w:rsidRPr="005B6070">
        <w:t>Import Fairway Marks [SUC13]</w:t>
      </w:r>
    </w:p>
    <w:p w:rsidR="00CB173E" w:rsidRPr="005B6070" w:rsidRDefault="00CB173E" w:rsidP="00CB173E">
      <w:pPr>
        <w:pStyle w:val="Listenabsatz"/>
        <w:numPr>
          <w:ilvl w:val="0"/>
          <w:numId w:val="2"/>
        </w:numPr>
      </w:pPr>
      <w:bookmarkStart w:id="84" w:name="_Toc483776640"/>
      <w:bookmarkStart w:id="85" w:name="_Toc483867776"/>
      <w:bookmarkStart w:id="86" w:name="_Toc475389094"/>
      <w:bookmarkStart w:id="87" w:name="_Toc478375715"/>
      <w:bookmarkStart w:id="88" w:name="_Ref478376115"/>
      <w:bookmarkStart w:id="89" w:name="_Ref478715060"/>
      <w:bookmarkEnd w:id="84"/>
      <w:bookmarkEnd w:id="85"/>
      <w:r w:rsidRPr="005B6070">
        <w:t xml:space="preserve">Import </w:t>
      </w:r>
      <w:bookmarkStart w:id="90" w:name="_Toc482887036"/>
      <w:r w:rsidRPr="005B6070">
        <w:t>Waterway Profiles</w:t>
      </w:r>
      <w:bookmarkEnd w:id="90"/>
      <w:r w:rsidRPr="005B6070">
        <w:t xml:space="preserve"> [SUC14]</w:t>
      </w:r>
    </w:p>
    <w:p w:rsidR="00CB173E" w:rsidRPr="005B6070" w:rsidRDefault="00CB173E" w:rsidP="00CB173E">
      <w:pPr>
        <w:pStyle w:val="Listenabsatz"/>
        <w:numPr>
          <w:ilvl w:val="0"/>
          <w:numId w:val="2"/>
        </w:numPr>
      </w:pPr>
      <w:r w:rsidRPr="005B6070">
        <w:t>Check and Consolidate Data [SUC15]</w:t>
      </w:r>
    </w:p>
    <w:p w:rsidR="00CB173E" w:rsidRPr="005B6070" w:rsidRDefault="00CB173E" w:rsidP="00CB173E">
      <w:pPr>
        <w:pStyle w:val="Listenabsatz"/>
        <w:numPr>
          <w:ilvl w:val="0"/>
          <w:numId w:val="2"/>
        </w:numPr>
      </w:pPr>
      <w:r w:rsidRPr="005B6070">
        <w:t>Process Data [SUC16]</w:t>
      </w:r>
    </w:p>
    <w:bookmarkEnd w:id="86"/>
    <w:bookmarkEnd w:id="87"/>
    <w:bookmarkEnd w:id="88"/>
    <w:bookmarkEnd w:id="89"/>
    <w:p w:rsidR="008611DE" w:rsidRDefault="008611DE" w:rsidP="008D35F3"/>
    <w:sectPr w:rsidR="008611DE">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CD72A7"/>
    <w:multiLevelType w:val="hybridMultilevel"/>
    <w:tmpl w:val="67DC04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31251998"/>
    <w:multiLevelType w:val="multilevel"/>
    <w:tmpl w:val="340AF31E"/>
    <w:lvl w:ilvl="0">
      <w:start w:val="1"/>
      <w:numFmt w:val="decimal"/>
      <w:lvlText w:val="%1."/>
      <w:lvlJc w:val="left"/>
      <w:pPr>
        <w:ind w:left="360" w:hanging="360"/>
      </w:pPr>
    </w:lvl>
    <w:lvl w:ilvl="1">
      <w:start w:val="1"/>
      <w:numFmt w:val="decimal"/>
      <w:lvlText w:val="%1.%2."/>
      <w:lvlJc w:val="left"/>
      <w:pPr>
        <w:ind w:left="858" w:hanging="432"/>
      </w:pPr>
    </w:lvl>
    <w:lvl w:ilvl="2">
      <w:start w:val="1"/>
      <w:numFmt w:val="decimal"/>
      <w:lvlText w:val="%1.%2.%3."/>
      <w:lvlJc w:val="left"/>
      <w:pPr>
        <w:ind w:left="930"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173E"/>
    <w:rsid w:val="00056B77"/>
    <w:rsid w:val="000C01CD"/>
    <w:rsid w:val="0043757D"/>
    <w:rsid w:val="005272D1"/>
    <w:rsid w:val="008611DE"/>
    <w:rsid w:val="008D35F3"/>
    <w:rsid w:val="00B9291A"/>
    <w:rsid w:val="00CB173E"/>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B173E"/>
    <w:pPr>
      <w:spacing w:after="120" w:line="240" w:lineRule="auto"/>
      <w:jc w:val="both"/>
    </w:pPr>
    <w:rPr>
      <w:rFonts w:ascii="Cambria" w:eastAsia="Times New Roman" w:hAnsi="Cambria" w:cs="Times New Roman"/>
      <w:sz w:val="20"/>
      <w:szCs w:val="24"/>
      <w:lang w:val="en-GB" w:eastAsia="de-DE"/>
    </w:rPr>
  </w:style>
  <w:style w:type="paragraph" w:styleId="berschrift1">
    <w:name w:val="heading 1"/>
    <w:aliases w:val="Headline 1"/>
    <w:basedOn w:val="Standard"/>
    <w:next w:val="Standard"/>
    <w:link w:val="berschrift1Zchn"/>
    <w:uiPriority w:val="9"/>
    <w:qFormat/>
    <w:rsid w:val="008D35F3"/>
    <w:pPr>
      <w:keepNext/>
      <w:keepLines/>
      <w:spacing w:before="480" w:after="0"/>
      <w:outlineLvl w:val="0"/>
    </w:pPr>
    <w:rPr>
      <w:rFonts w:asciiTheme="majorHAnsi" w:eastAsiaTheme="majorEastAsia" w:hAnsiTheme="majorHAnsi" w:cstheme="majorBidi"/>
      <w:b/>
      <w:bCs/>
      <w:color w:val="4691AF" w:themeColor="accent1"/>
      <w:sz w:val="28"/>
      <w:szCs w:val="28"/>
    </w:rPr>
  </w:style>
  <w:style w:type="paragraph" w:styleId="berschrift2">
    <w:name w:val="heading 2"/>
    <w:aliases w:val="Headline 2"/>
    <w:basedOn w:val="Standard"/>
    <w:next w:val="Standard"/>
    <w:link w:val="berschrift2Zchn"/>
    <w:uiPriority w:val="9"/>
    <w:unhideWhenUsed/>
    <w:qFormat/>
    <w:rsid w:val="008D35F3"/>
    <w:pPr>
      <w:keepNext/>
      <w:keepLines/>
      <w:spacing w:before="200" w:after="0"/>
      <w:outlineLvl w:val="1"/>
    </w:pPr>
    <w:rPr>
      <w:rFonts w:asciiTheme="majorHAnsi" w:eastAsiaTheme="majorEastAsia" w:hAnsiTheme="majorHAnsi" w:cstheme="majorBidi"/>
      <w:b/>
      <w:bCs/>
      <w:color w:val="4691AF" w:themeColor="accent1"/>
      <w:sz w:val="26"/>
      <w:szCs w:val="26"/>
    </w:rPr>
  </w:style>
  <w:style w:type="paragraph" w:styleId="berschrift3">
    <w:name w:val="heading 3"/>
    <w:aliases w:val="Headline 3"/>
    <w:basedOn w:val="Standard"/>
    <w:next w:val="Standard"/>
    <w:link w:val="berschrift3Zchn"/>
    <w:uiPriority w:val="9"/>
    <w:qFormat/>
    <w:rsid w:val="00CB173E"/>
    <w:pPr>
      <w:keepNext/>
      <w:keepLines/>
      <w:tabs>
        <w:tab w:val="left" w:pos="709"/>
      </w:tabs>
      <w:spacing w:before="200" w:after="160"/>
      <w:ind w:left="567" w:hanging="567"/>
      <w:jc w:val="left"/>
      <w:outlineLvl w:val="2"/>
    </w:pPr>
    <w:rPr>
      <w:rFonts w:cs="Arial"/>
      <w:b/>
      <w:bCs/>
      <w:color w:val="000000" w:themeColor="text2"/>
      <w:szCs w:val="26"/>
    </w:rPr>
  </w:style>
  <w:style w:type="paragraph" w:styleId="berschrift4">
    <w:name w:val="heading 4"/>
    <w:basedOn w:val="Standard"/>
    <w:next w:val="Standard"/>
    <w:link w:val="berschrift4Zchn"/>
    <w:uiPriority w:val="9"/>
    <w:qFormat/>
    <w:rsid w:val="00CB173E"/>
    <w:pPr>
      <w:keepNext/>
      <w:spacing w:after="360"/>
      <w:ind w:left="709" w:hanging="709"/>
      <w:jc w:val="left"/>
      <w:outlineLvl w:val="3"/>
    </w:pPr>
    <w:rPr>
      <w:b/>
      <w:bCs/>
      <w:color w:val="000000" w:themeColor="text2"/>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line 1 Zchn"/>
    <w:basedOn w:val="Absatz-Standardschriftart"/>
    <w:link w:val="berschrift1"/>
    <w:uiPriority w:val="9"/>
    <w:rsid w:val="008D35F3"/>
    <w:rPr>
      <w:rFonts w:asciiTheme="majorHAnsi" w:eastAsiaTheme="majorEastAsia" w:hAnsiTheme="majorHAnsi" w:cstheme="majorBidi"/>
      <w:b/>
      <w:bCs/>
      <w:color w:val="4691AF" w:themeColor="accent1"/>
      <w:sz w:val="28"/>
      <w:szCs w:val="28"/>
    </w:rPr>
  </w:style>
  <w:style w:type="character" w:customStyle="1" w:styleId="berschrift2Zchn">
    <w:name w:val="Überschrift 2 Zchn"/>
    <w:aliases w:val="Headline 2 Zchn"/>
    <w:basedOn w:val="Absatz-Standardschriftart"/>
    <w:link w:val="berschrift2"/>
    <w:uiPriority w:val="9"/>
    <w:rsid w:val="008D35F3"/>
    <w:rPr>
      <w:rFonts w:asciiTheme="majorHAnsi" w:eastAsiaTheme="majorEastAsia" w:hAnsiTheme="majorHAnsi" w:cstheme="majorBidi"/>
      <w:b/>
      <w:bCs/>
      <w:color w:val="4691AF" w:themeColor="accent1"/>
      <w:sz w:val="26"/>
      <w:szCs w:val="26"/>
    </w:rPr>
  </w:style>
  <w:style w:type="character" w:customStyle="1" w:styleId="berschrift3Zchn">
    <w:name w:val="Überschrift 3 Zchn"/>
    <w:aliases w:val="Headline 3 Zchn"/>
    <w:basedOn w:val="Absatz-Standardschriftart"/>
    <w:link w:val="berschrift3"/>
    <w:uiPriority w:val="9"/>
    <w:rsid w:val="00CB173E"/>
    <w:rPr>
      <w:rFonts w:ascii="Cambria" w:eastAsia="Times New Roman" w:hAnsi="Cambria" w:cs="Arial"/>
      <w:b/>
      <w:bCs/>
      <w:color w:val="000000" w:themeColor="text2"/>
      <w:sz w:val="20"/>
      <w:szCs w:val="26"/>
      <w:lang w:val="en-GB" w:eastAsia="de-DE"/>
    </w:rPr>
  </w:style>
  <w:style w:type="character" w:customStyle="1" w:styleId="berschrift4Zchn">
    <w:name w:val="Überschrift 4 Zchn"/>
    <w:basedOn w:val="Absatz-Standardschriftart"/>
    <w:link w:val="berschrift4"/>
    <w:uiPriority w:val="9"/>
    <w:rsid w:val="00CB173E"/>
    <w:rPr>
      <w:rFonts w:ascii="Cambria" w:eastAsia="Times New Roman" w:hAnsi="Cambria" w:cs="Times New Roman"/>
      <w:b/>
      <w:bCs/>
      <w:color w:val="000000" w:themeColor="text2"/>
      <w:sz w:val="18"/>
      <w:szCs w:val="18"/>
      <w:lang w:val="en-GB" w:eastAsia="de-DE"/>
    </w:rPr>
  </w:style>
  <w:style w:type="character" w:styleId="Hyperlink">
    <w:name w:val="Hyperlink"/>
    <w:basedOn w:val="Absatz-Standardschriftart"/>
    <w:uiPriority w:val="99"/>
    <w:qFormat/>
    <w:rsid w:val="00CB173E"/>
    <w:rPr>
      <w:color w:val="0000FF"/>
      <w:u w:val="single"/>
    </w:rPr>
  </w:style>
  <w:style w:type="paragraph" w:styleId="Beschriftung">
    <w:name w:val="caption"/>
    <w:basedOn w:val="Standard"/>
    <w:next w:val="Standard"/>
    <w:qFormat/>
    <w:rsid w:val="00CB173E"/>
    <w:pPr>
      <w:spacing w:before="120"/>
    </w:pPr>
    <w:rPr>
      <w:bCs/>
      <w:i/>
      <w:szCs w:val="20"/>
    </w:rPr>
  </w:style>
  <w:style w:type="paragraph" w:styleId="Listenabsatz">
    <w:name w:val="List Paragraph"/>
    <w:basedOn w:val="Standard"/>
    <w:uiPriority w:val="34"/>
    <w:qFormat/>
    <w:rsid w:val="00CB173E"/>
    <w:pPr>
      <w:ind w:left="720"/>
      <w:contextualSpacing/>
    </w:pPr>
  </w:style>
  <w:style w:type="table" w:customStyle="1" w:styleId="Table">
    <w:name w:val="Table"/>
    <w:basedOn w:val="NormaleTabelle"/>
    <w:uiPriority w:val="99"/>
    <w:rsid w:val="00CB173E"/>
    <w:pPr>
      <w:spacing w:after="0" w:line="240" w:lineRule="auto"/>
      <w:contextualSpacing/>
    </w:pPr>
    <w:rPr>
      <w:rFonts w:ascii="Cambria" w:eastAsia="Times New Roman" w:hAnsi="Cambria" w:cs="Times New Roman"/>
      <w:sz w:val="20"/>
      <w:szCs w:val="20"/>
      <w:lang w:val="de-DE" w:eastAsia="de-DE"/>
    </w:rPr>
    <w:tblPr>
      <w:tblInd w:w="113"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28" w:type="dxa"/>
        <w:bottom w:w="28" w:type="dxa"/>
      </w:tblCellMar>
    </w:tblPr>
    <w:tcPr>
      <w:shd w:val="clear" w:color="auto" w:fill="auto"/>
    </w:tcPr>
    <w:tblStylePr w:type="firstRow">
      <w:pPr>
        <w:wordWrap/>
        <w:spacing w:beforeLines="0" w:beforeAutospacing="0" w:afterLines="0" w:afterAutospacing="0" w:line="240" w:lineRule="auto"/>
        <w:ind w:rightChars="0" w:right="0"/>
        <w:contextualSpacing/>
        <w:jc w:val="left"/>
      </w:pPr>
      <w:rPr>
        <w:rFonts w:ascii="Cambria" w:hAnsi="Cambria"/>
        <w:b/>
        <w:color w:val="000000" w:themeColor="text2"/>
        <w:sz w:val="20"/>
      </w:rPr>
      <w:tblPr/>
      <w:tcPr>
        <w:shd w:val="clear" w:color="auto" w:fill="53D3FF" w:themeFill="accent3" w:themeFillTint="66"/>
        <w:vAlign w:val="center"/>
      </w:tcPr>
    </w:tblStylePr>
    <w:tblStylePr w:type="lastRow">
      <w:rPr>
        <w:b/>
        <w:i/>
      </w:rPr>
      <w:tblPr/>
      <w:tcPr>
        <w:tcBorders>
          <w:top w:val="double" w:sz="4" w:space="0" w:color="auto"/>
        </w:tcBorders>
        <w:shd w:val="clear" w:color="auto" w:fill="auto"/>
      </w:tcPr>
    </w:tblStylePr>
  </w:style>
  <w:style w:type="character" w:customStyle="1" w:styleId="shorttext">
    <w:name w:val="short_text"/>
    <w:basedOn w:val="Absatz-Standardschriftart"/>
    <w:rsid w:val="00CB173E"/>
  </w:style>
  <w:style w:type="paragraph" w:styleId="Sprechblasentext">
    <w:name w:val="Balloon Text"/>
    <w:basedOn w:val="Standard"/>
    <w:link w:val="SprechblasentextZchn"/>
    <w:uiPriority w:val="99"/>
    <w:semiHidden/>
    <w:unhideWhenUsed/>
    <w:rsid w:val="00CB173E"/>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B173E"/>
    <w:rPr>
      <w:rFonts w:ascii="Tahoma" w:eastAsia="Times New Roman" w:hAnsi="Tahoma" w:cs="Tahoma"/>
      <w:sz w:val="16"/>
      <w:szCs w:val="16"/>
      <w:lang w:val="en-GB" w:eastAsia="de-DE"/>
    </w:rPr>
  </w:style>
  <w:style w:type="paragraph" w:styleId="Titel">
    <w:name w:val="Title"/>
    <w:basedOn w:val="Standard"/>
    <w:next w:val="Standard"/>
    <w:link w:val="TitelZchn"/>
    <w:uiPriority w:val="10"/>
    <w:qFormat/>
    <w:rsid w:val="000C01CD"/>
    <w:pPr>
      <w:pBdr>
        <w:bottom w:val="single" w:sz="8" w:space="4" w:color="4691AF" w:themeColor="accent1"/>
      </w:pBdr>
      <w:spacing w:after="300"/>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elZchn">
    <w:name w:val="Titel Zchn"/>
    <w:basedOn w:val="Absatz-Standardschriftart"/>
    <w:link w:val="Titel"/>
    <w:uiPriority w:val="10"/>
    <w:rsid w:val="000C01CD"/>
    <w:rPr>
      <w:rFonts w:asciiTheme="majorHAnsi" w:eastAsiaTheme="majorEastAsia" w:hAnsiTheme="majorHAnsi" w:cstheme="majorBidi"/>
      <w:color w:val="000000" w:themeColor="text2" w:themeShade="BF"/>
      <w:spacing w:val="5"/>
      <w:kern w:val="28"/>
      <w:sz w:val="52"/>
      <w:szCs w:val="52"/>
      <w:lang w:val="en-GB"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B173E"/>
    <w:pPr>
      <w:spacing w:after="120" w:line="240" w:lineRule="auto"/>
      <w:jc w:val="both"/>
    </w:pPr>
    <w:rPr>
      <w:rFonts w:ascii="Cambria" w:eastAsia="Times New Roman" w:hAnsi="Cambria" w:cs="Times New Roman"/>
      <w:sz w:val="20"/>
      <w:szCs w:val="24"/>
      <w:lang w:val="en-GB" w:eastAsia="de-DE"/>
    </w:rPr>
  </w:style>
  <w:style w:type="paragraph" w:styleId="berschrift1">
    <w:name w:val="heading 1"/>
    <w:aliases w:val="Headline 1"/>
    <w:basedOn w:val="Standard"/>
    <w:next w:val="Standard"/>
    <w:link w:val="berschrift1Zchn"/>
    <w:uiPriority w:val="9"/>
    <w:qFormat/>
    <w:rsid w:val="008D35F3"/>
    <w:pPr>
      <w:keepNext/>
      <w:keepLines/>
      <w:spacing w:before="480" w:after="0"/>
      <w:outlineLvl w:val="0"/>
    </w:pPr>
    <w:rPr>
      <w:rFonts w:asciiTheme="majorHAnsi" w:eastAsiaTheme="majorEastAsia" w:hAnsiTheme="majorHAnsi" w:cstheme="majorBidi"/>
      <w:b/>
      <w:bCs/>
      <w:color w:val="4691AF" w:themeColor="accent1"/>
      <w:sz w:val="28"/>
      <w:szCs w:val="28"/>
    </w:rPr>
  </w:style>
  <w:style w:type="paragraph" w:styleId="berschrift2">
    <w:name w:val="heading 2"/>
    <w:aliases w:val="Headline 2"/>
    <w:basedOn w:val="Standard"/>
    <w:next w:val="Standard"/>
    <w:link w:val="berschrift2Zchn"/>
    <w:uiPriority w:val="9"/>
    <w:unhideWhenUsed/>
    <w:qFormat/>
    <w:rsid w:val="008D35F3"/>
    <w:pPr>
      <w:keepNext/>
      <w:keepLines/>
      <w:spacing w:before="200" w:after="0"/>
      <w:outlineLvl w:val="1"/>
    </w:pPr>
    <w:rPr>
      <w:rFonts w:asciiTheme="majorHAnsi" w:eastAsiaTheme="majorEastAsia" w:hAnsiTheme="majorHAnsi" w:cstheme="majorBidi"/>
      <w:b/>
      <w:bCs/>
      <w:color w:val="4691AF" w:themeColor="accent1"/>
      <w:sz w:val="26"/>
      <w:szCs w:val="26"/>
    </w:rPr>
  </w:style>
  <w:style w:type="paragraph" w:styleId="berschrift3">
    <w:name w:val="heading 3"/>
    <w:aliases w:val="Headline 3"/>
    <w:basedOn w:val="Standard"/>
    <w:next w:val="Standard"/>
    <w:link w:val="berschrift3Zchn"/>
    <w:uiPriority w:val="9"/>
    <w:qFormat/>
    <w:rsid w:val="00CB173E"/>
    <w:pPr>
      <w:keepNext/>
      <w:keepLines/>
      <w:tabs>
        <w:tab w:val="left" w:pos="709"/>
      </w:tabs>
      <w:spacing w:before="200" w:after="160"/>
      <w:ind w:left="567" w:hanging="567"/>
      <w:jc w:val="left"/>
      <w:outlineLvl w:val="2"/>
    </w:pPr>
    <w:rPr>
      <w:rFonts w:cs="Arial"/>
      <w:b/>
      <w:bCs/>
      <w:color w:val="000000" w:themeColor="text2"/>
      <w:szCs w:val="26"/>
    </w:rPr>
  </w:style>
  <w:style w:type="paragraph" w:styleId="berschrift4">
    <w:name w:val="heading 4"/>
    <w:basedOn w:val="Standard"/>
    <w:next w:val="Standard"/>
    <w:link w:val="berschrift4Zchn"/>
    <w:uiPriority w:val="9"/>
    <w:qFormat/>
    <w:rsid w:val="00CB173E"/>
    <w:pPr>
      <w:keepNext/>
      <w:spacing w:after="360"/>
      <w:ind w:left="709" w:hanging="709"/>
      <w:jc w:val="left"/>
      <w:outlineLvl w:val="3"/>
    </w:pPr>
    <w:rPr>
      <w:b/>
      <w:bCs/>
      <w:color w:val="000000" w:themeColor="text2"/>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line 1 Zchn"/>
    <w:basedOn w:val="Absatz-Standardschriftart"/>
    <w:link w:val="berschrift1"/>
    <w:uiPriority w:val="9"/>
    <w:rsid w:val="008D35F3"/>
    <w:rPr>
      <w:rFonts w:asciiTheme="majorHAnsi" w:eastAsiaTheme="majorEastAsia" w:hAnsiTheme="majorHAnsi" w:cstheme="majorBidi"/>
      <w:b/>
      <w:bCs/>
      <w:color w:val="4691AF" w:themeColor="accent1"/>
      <w:sz w:val="28"/>
      <w:szCs w:val="28"/>
    </w:rPr>
  </w:style>
  <w:style w:type="character" w:customStyle="1" w:styleId="berschrift2Zchn">
    <w:name w:val="Überschrift 2 Zchn"/>
    <w:aliases w:val="Headline 2 Zchn"/>
    <w:basedOn w:val="Absatz-Standardschriftart"/>
    <w:link w:val="berschrift2"/>
    <w:uiPriority w:val="9"/>
    <w:rsid w:val="008D35F3"/>
    <w:rPr>
      <w:rFonts w:asciiTheme="majorHAnsi" w:eastAsiaTheme="majorEastAsia" w:hAnsiTheme="majorHAnsi" w:cstheme="majorBidi"/>
      <w:b/>
      <w:bCs/>
      <w:color w:val="4691AF" w:themeColor="accent1"/>
      <w:sz w:val="26"/>
      <w:szCs w:val="26"/>
    </w:rPr>
  </w:style>
  <w:style w:type="character" w:customStyle="1" w:styleId="berschrift3Zchn">
    <w:name w:val="Überschrift 3 Zchn"/>
    <w:aliases w:val="Headline 3 Zchn"/>
    <w:basedOn w:val="Absatz-Standardschriftart"/>
    <w:link w:val="berschrift3"/>
    <w:uiPriority w:val="9"/>
    <w:rsid w:val="00CB173E"/>
    <w:rPr>
      <w:rFonts w:ascii="Cambria" w:eastAsia="Times New Roman" w:hAnsi="Cambria" w:cs="Arial"/>
      <w:b/>
      <w:bCs/>
      <w:color w:val="000000" w:themeColor="text2"/>
      <w:sz w:val="20"/>
      <w:szCs w:val="26"/>
      <w:lang w:val="en-GB" w:eastAsia="de-DE"/>
    </w:rPr>
  </w:style>
  <w:style w:type="character" w:customStyle="1" w:styleId="berschrift4Zchn">
    <w:name w:val="Überschrift 4 Zchn"/>
    <w:basedOn w:val="Absatz-Standardschriftart"/>
    <w:link w:val="berschrift4"/>
    <w:uiPriority w:val="9"/>
    <w:rsid w:val="00CB173E"/>
    <w:rPr>
      <w:rFonts w:ascii="Cambria" w:eastAsia="Times New Roman" w:hAnsi="Cambria" w:cs="Times New Roman"/>
      <w:b/>
      <w:bCs/>
      <w:color w:val="000000" w:themeColor="text2"/>
      <w:sz w:val="18"/>
      <w:szCs w:val="18"/>
      <w:lang w:val="en-GB" w:eastAsia="de-DE"/>
    </w:rPr>
  </w:style>
  <w:style w:type="character" w:styleId="Hyperlink">
    <w:name w:val="Hyperlink"/>
    <w:basedOn w:val="Absatz-Standardschriftart"/>
    <w:uiPriority w:val="99"/>
    <w:qFormat/>
    <w:rsid w:val="00CB173E"/>
    <w:rPr>
      <w:color w:val="0000FF"/>
      <w:u w:val="single"/>
    </w:rPr>
  </w:style>
  <w:style w:type="paragraph" w:styleId="Beschriftung">
    <w:name w:val="caption"/>
    <w:basedOn w:val="Standard"/>
    <w:next w:val="Standard"/>
    <w:qFormat/>
    <w:rsid w:val="00CB173E"/>
    <w:pPr>
      <w:spacing w:before="120"/>
    </w:pPr>
    <w:rPr>
      <w:bCs/>
      <w:i/>
      <w:szCs w:val="20"/>
    </w:rPr>
  </w:style>
  <w:style w:type="paragraph" w:styleId="Listenabsatz">
    <w:name w:val="List Paragraph"/>
    <w:basedOn w:val="Standard"/>
    <w:uiPriority w:val="34"/>
    <w:qFormat/>
    <w:rsid w:val="00CB173E"/>
    <w:pPr>
      <w:ind w:left="720"/>
      <w:contextualSpacing/>
    </w:pPr>
  </w:style>
  <w:style w:type="table" w:customStyle="1" w:styleId="Table">
    <w:name w:val="Table"/>
    <w:basedOn w:val="NormaleTabelle"/>
    <w:uiPriority w:val="99"/>
    <w:rsid w:val="00CB173E"/>
    <w:pPr>
      <w:spacing w:after="0" w:line="240" w:lineRule="auto"/>
      <w:contextualSpacing/>
    </w:pPr>
    <w:rPr>
      <w:rFonts w:ascii="Cambria" w:eastAsia="Times New Roman" w:hAnsi="Cambria" w:cs="Times New Roman"/>
      <w:sz w:val="20"/>
      <w:szCs w:val="20"/>
      <w:lang w:val="de-DE" w:eastAsia="de-DE"/>
    </w:rPr>
    <w:tblPr>
      <w:tblInd w:w="113"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28" w:type="dxa"/>
        <w:bottom w:w="28" w:type="dxa"/>
      </w:tblCellMar>
    </w:tblPr>
    <w:tcPr>
      <w:shd w:val="clear" w:color="auto" w:fill="auto"/>
    </w:tcPr>
    <w:tblStylePr w:type="firstRow">
      <w:pPr>
        <w:wordWrap/>
        <w:spacing w:beforeLines="0" w:beforeAutospacing="0" w:afterLines="0" w:afterAutospacing="0" w:line="240" w:lineRule="auto"/>
        <w:ind w:rightChars="0" w:right="0"/>
        <w:contextualSpacing/>
        <w:jc w:val="left"/>
      </w:pPr>
      <w:rPr>
        <w:rFonts w:ascii="Cambria" w:hAnsi="Cambria"/>
        <w:b/>
        <w:color w:val="000000" w:themeColor="text2"/>
        <w:sz w:val="20"/>
      </w:rPr>
      <w:tblPr/>
      <w:tcPr>
        <w:shd w:val="clear" w:color="auto" w:fill="53D3FF" w:themeFill="accent3" w:themeFillTint="66"/>
        <w:vAlign w:val="center"/>
      </w:tcPr>
    </w:tblStylePr>
    <w:tblStylePr w:type="lastRow">
      <w:rPr>
        <w:b/>
        <w:i/>
      </w:rPr>
      <w:tblPr/>
      <w:tcPr>
        <w:tcBorders>
          <w:top w:val="double" w:sz="4" w:space="0" w:color="auto"/>
        </w:tcBorders>
        <w:shd w:val="clear" w:color="auto" w:fill="auto"/>
      </w:tcPr>
    </w:tblStylePr>
  </w:style>
  <w:style w:type="character" w:customStyle="1" w:styleId="shorttext">
    <w:name w:val="short_text"/>
    <w:basedOn w:val="Absatz-Standardschriftart"/>
    <w:rsid w:val="00CB173E"/>
  </w:style>
  <w:style w:type="paragraph" w:styleId="Sprechblasentext">
    <w:name w:val="Balloon Text"/>
    <w:basedOn w:val="Standard"/>
    <w:link w:val="SprechblasentextZchn"/>
    <w:uiPriority w:val="99"/>
    <w:semiHidden/>
    <w:unhideWhenUsed/>
    <w:rsid w:val="00CB173E"/>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B173E"/>
    <w:rPr>
      <w:rFonts w:ascii="Tahoma" w:eastAsia="Times New Roman" w:hAnsi="Tahoma" w:cs="Tahoma"/>
      <w:sz w:val="16"/>
      <w:szCs w:val="16"/>
      <w:lang w:val="en-GB" w:eastAsia="de-DE"/>
    </w:rPr>
  </w:style>
  <w:style w:type="paragraph" w:styleId="Titel">
    <w:name w:val="Title"/>
    <w:basedOn w:val="Standard"/>
    <w:next w:val="Standard"/>
    <w:link w:val="TitelZchn"/>
    <w:uiPriority w:val="10"/>
    <w:qFormat/>
    <w:rsid w:val="000C01CD"/>
    <w:pPr>
      <w:pBdr>
        <w:bottom w:val="single" w:sz="8" w:space="4" w:color="4691AF" w:themeColor="accent1"/>
      </w:pBdr>
      <w:spacing w:after="300"/>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elZchn">
    <w:name w:val="Titel Zchn"/>
    <w:basedOn w:val="Absatz-Standardschriftart"/>
    <w:link w:val="Titel"/>
    <w:uiPriority w:val="10"/>
    <w:rsid w:val="000C01CD"/>
    <w:rPr>
      <w:rFonts w:asciiTheme="majorHAnsi" w:eastAsiaTheme="majorEastAsia" w:hAnsiTheme="majorHAnsi" w:cstheme="majorBidi"/>
      <w:color w:val="000000" w:themeColor="text2" w:themeShade="BF"/>
      <w:spacing w:val="5"/>
      <w:kern w:val="28"/>
      <w:sz w:val="52"/>
      <w:szCs w:val="52"/>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anubeportal.com" TargetMode="External"/><Relationship Id="rId13" Type="http://schemas.openxmlformats.org/officeDocument/2006/relationships/image" Target="media/image5.png"/><Relationship Id="rId18" Type="http://schemas.openxmlformats.org/officeDocument/2006/relationships/oleObject" Target="embeddings/oleObject5.bin"/><Relationship Id="rId3" Type="http://schemas.microsoft.com/office/2007/relationships/stylesWithEffects" Target="stylesWithEffects.xml"/><Relationship Id="rId21" Type="http://schemas.openxmlformats.org/officeDocument/2006/relationships/image" Target="media/image10.png"/><Relationship Id="rId7" Type="http://schemas.openxmlformats.org/officeDocument/2006/relationships/image" Target="media/image2.png"/><Relationship Id="rId12" Type="http://schemas.openxmlformats.org/officeDocument/2006/relationships/oleObject" Target="embeddings/oleObject2.bin"/><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oleObject" Target="embeddings/oleObject3.bin"/><Relationship Id="rId22" Type="http://schemas.openxmlformats.org/officeDocument/2006/relationships/image" Target="media/image11.png"/></Relationships>
</file>

<file path=word/theme/theme1.xml><?xml version="1.0" encoding="utf-8"?>
<a:theme xmlns:a="http://schemas.openxmlformats.org/drawingml/2006/main" name="Larissa">
  <a:themeElements>
    <a:clrScheme name="Benutzerdefiniert 2">
      <a:dk1>
        <a:sysClr val="windowText" lastClr="000000"/>
      </a:dk1>
      <a:lt1>
        <a:sysClr val="window" lastClr="FFFFFF"/>
      </a:lt1>
      <a:dk2>
        <a:srgbClr val="000000"/>
      </a:dk2>
      <a:lt2>
        <a:srgbClr val="EBE6E1"/>
      </a:lt2>
      <a:accent1>
        <a:srgbClr val="4691AF"/>
      </a:accent1>
      <a:accent2>
        <a:srgbClr val="C00000"/>
      </a:accent2>
      <a:accent3>
        <a:srgbClr val="003C50"/>
      </a:accent3>
      <a:accent4>
        <a:srgbClr val="007D69"/>
      </a:accent4>
      <a:accent5>
        <a:srgbClr val="96BE0F"/>
      </a:accent5>
      <a:accent6>
        <a:srgbClr val="00A0E1"/>
      </a:accent6>
      <a:hlink>
        <a:srgbClr val="4691AF"/>
      </a:hlink>
      <a:folHlink>
        <a:srgbClr val="003C50"/>
      </a:folHlink>
    </a:clrScheme>
    <a:fontScheme name="viadonau">
      <a:majorFont>
        <a:latin typeface="Georgia"/>
        <a:ea typeface=""/>
        <a:cs typeface=""/>
      </a:majorFont>
      <a:minorFont>
        <a:latin typeface="Franklin Gothic Book"/>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a:noFill/>
        </a:ln>
      </a:spPr>
      <a:bodyPr rtlCol="0" anchor="ctr"/>
      <a:lstStyle>
        <a:defPPr algn="ctr">
          <a:defRPr sz="2000" dirty="0" err="1" smtClean="0"/>
        </a:defPPr>
      </a:lstStyle>
      <a:style>
        <a:lnRef idx="2">
          <a:schemeClr val="accent1">
            <a:shade val="50000"/>
          </a:schemeClr>
        </a:lnRef>
        <a:fillRef idx="1">
          <a:schemeClr val="accent1"/>
        </a:fillRef>
        <a:effectRef idx="0">
          <a:schemeClr val="accent1"/>
        </a:effectRef>
        <a:fontRef idx="minor">
          <a:schemeClr val="lt1"/>
        </a:fontRef>
      </a:style>
    </a:spDef>
    <a:lnDef>
      <a:spPr>
        <a:ln>
          <a:solidFill>
            <a:schemeClr val="tx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tIns="0" rIns="0" bIns="0" rtlCol="0">
        <a:spAutoFit/>
      </a:bodyPr>
      <a:lstStyle>
        <a:defPPr>
          <a:defRPr sz="2000" dirty="0" err="1" smtClean="0"/>
        </a:defPPr>
      </a:lst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1849</Words>
  <Characters>11650</Characters>
  <Application>Microsoft Office Word</Application>
  <DocSecurity>0</DocSecurity>
  <Lines>97</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Katja Rosner</dc:creator>
  <cp:lastModifiedBy>Christoph Plasil</cp:lastModifiedBy>
  <cp:revision>2</cp:revision>
  <dcterms:created xsi:type="dcterms:W3CDTF">2017-10-02T16:01:00Z</dcterms:created>
  <dcterms:modified xsi:type="dcterms:W3CDTF">2017-10-02T16:01:00Z</dcterms:modified>
</cp:coreProperties>
</file>